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894d1_8k.htm"/>
      <w:bookmarkStart w:id="1" w:name="kstm2627894d1_8k"/>
      <w:bookmarkEnd w:id="0"/>
      <w:bookmarkEnd w:id="1"/>
      <w:r>
        <w:rPr>
          <w:bdr w:val="single" w:sz="16" w:space="1" w:color="000000"/>
        </w:rPr>
        <w:t> </w:t>
      </w:r>
    </w:p>
    <w:p>
      <w:pPr>
        <w:pStyle w:val="TextBody"/>
        <w:bidi w:val="0"/>
        <w:spacing w:before="0" w:after="0"/>
        <w:ind w:left="0" w:right="0" w:firstLine="261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10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October 7, 2026</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B_edei--EntityFileNumber_c20261007"/>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B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5300"/>
        <w:gridCol w:w="60"/>
        <w:gridCol w:w="920"/>
      </w:tblGrid>
      <w:tr>
        <w:trPr/>
        <w:tc>
          <w:tcPr>
            <w:tcW w:w="5300" w:type="dxa"/>
            <w:tcBorders>
              <w:bottom w:val="single" w:sz="8" w:space="0" w:color="000000"/>
            </w:tcBorders>
            <w:vAlign w:val="center"/>
          </w:tcPr>
          <w:p>
            <w:pPr>
              <w:pStyle w:val="TableContents"/>
              <w:bidi w:val="0"/>
              <w:spacing w:before="0" w:after="283"/>
              <w:jc w:val="center"/>
              <w:rPr/>
            </w:pPr>
            <w:bookmarkStart w:id="8" w:name="xdx_905_edei--EntityAddressAddressLine1_"/>
            <w:bookmarkEnd w:id="8"/>
            <w:r>
              <w:rPr>
                <w:b/>
                <w:sz w:val="20"/>
              </w:rPr>
              <w:t>254 West 31st Street</w:t>
            </w:r>
            <w:r>
              <w:rPr>
                <w:b/>
              </w:rPr>
              <w:t xml:space="preserve">, </w:t>
            </w:r>
            <w:bookmarkStart w:id="9" w:name="xdx_903_edei--EntityAddressAddressLine2_"/>
            <w:bookmarkEnd w:id="9"/>
            <w:r>
              <w:rPr>
                <w:b/>
              </w:rPr>
              <w:t xml:space="preserve">11th Floor, </w:t>
            </w:r>
            <w:bookmarkStart w:id="10" w:name="xdx_909_edei--EntityAddressCityOrTown_c2"/>
            <w:bookmarkEnd w:id="10"/>
            <w:r>
              <w:rPr>
                <w:b/>
              </w:rPr>
              <w:t xml:space="preserve">New York, </w:t>
            </w:r>
            <w:bookmarkStart w:id="11" w:name="xdx_90A_edei--EntityAddressStateOrProvin"/>
            <w:bookmarkEnd w:id="11"/>
            <w:r>
              <w:rPr>
                <w:b/>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B_edei--EntityAddressPostalZipCode"/>
            <w:bookmarkEnd w:id="12"/>
            <w:r>
              <w:rPr>
                <w:b/>
                <w:sz w:val="20"/>
              </w:rPr>
              <w:t>10001</w:t>
            </w:r>
          </w:p>
        </w:tc>
      </w:tr>
      <w:tr>
        <w:trPr/>
        <w:tc>
          <w:tcPr>
            <w:tcW w:w="53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61007__20"/>
      <w:bookmarkEnd w:id="13"/>
      <w:r>
        <w:rPr>
          <w:rFonts w:ascii="Times New Roman;Times;Serif" w:hAnsi="Times New Roman;Times;Serif"/>
          <w:b/>
          <w:i w:val="false"/>
          <w:caps w:val="false"/>
          <w:smallCaps w:val="false"/>
          <w:sz w:val="20"/>
        </w:rPr>
        <w:t xml:space="preserve">212) </w:t>
      </w:r>
      <w:bookmarkStart w:id="14" w:name="xdx_901_edei--LocalPhoneNumber_c20261007"/>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2_edei--SolicitingMaterial_c202610"/>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8_edei--Security12bTitle_c20261007"/>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B_edei--TradingSymbol_c20261007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B_edei--SecurityExchangeName_c2026"/>
            <w:bookmarkEnd w:id="21"/>
            <w:r>
              <w:rPr>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0"/>
        <w:gridCol w:w="9265"/>
      </w:tblGrid>
      <w:tr>
        <w:trPr/>
        <w:tc>
          <w:tcPr>
            <w:tcW w:w="940" w:type="dxa"/>
            <w:tcBorders/>
            <w:vAlign w:val="center"/>
          </w:tcPr>
          <w:p>
            <w:pPr>
              <w:pStyle w:val="TableContents"/>
              <w:bidi w:val="0"/>
              <w:spacing w:before="0" w:after="283"/>
              <w:jc w:val="left"/>
              <w:rPr>
                <w:b/>
              </w:rPr>
            </w:pPr>
            <w:r>
              <w:rPr>
                <w:b/>
              </w:rPr>
              <w:t>Item 3.01</w:t>
            </w:r>
          </w:p>
        </w:tc>
        <w:tc>
          <w:tcPr>
            <w:tcW w:w="9265" w:type="dxa"/>
            <w:tcBorders/>
            <w:vAlign w:val="center"/>
          </w:tcPr>
          <w:p>
            <w:pPr>
              <w:pStyle w:val="TableContents"/>
              <w:bidi w:val="0"/>
              <w:spacing w:before="0" w:after="283"/>
              <w:jc w:val="left"/>
              <w:rPr>
                <w:b/>
              </w:rPr>
            </w:pPr>
            <w:r>
              <w:rPr>
                <w:b/>
              </w:rPr>
              <w:t>Notice of Delisting or Failure to Satisfy a Continued Listing Rule or Standard; Transfer of Listing.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XWELL, Inc. (the “Company”) received a letter (the “Notice”) from the Nasdaq Listing Qualifications staff (the “Staff”) of The Nasdaq Stock Market LLC (“Nasdaq”) notifying the Company that, based upon the closing bid price of the Company’s common stock for the 30 consecutive business days from August 25, 2026 through October 6, 2026, the Company is not in compliance with the minimum bid price requirement for continued listing on The Nasdaq Capital Market as set forth in Nasdaq Listing Rule 5550(a)(2) (the “Minimum Bid Price Requirement”). Nasdaq Listing Rule 5550(a)(2) requires listed securities to maintain a minimum bid price of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Listing Rule 5810(c)(3)(A), the Company has been provided a compliance period of 180 calendar days, or until April 5, 2027, to regain compliance with the Minimum Bid Price Requirement. To regain compliance, the closing bid price of the Company’s common stock must be at least $1.00 per share for a minimum of ten consecutive business days during the compliance period, unless the Staff exercises its discretion to require a longer period. If the Company chooses to implement a reverse stock split to regain compliance, it must complete the reverse stock split no later than ten business days prior to April 5, 2027. In addition, if during the compliance period the closing bid price of the Company’s common stock is $0.10 or less for ten consecutive trading days, Nasdaq will issue a Staff Delisting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by April 5, 2027, the Company may be eligible for an additional 180-calendar-day compliance period, provided that it meets the continued listing requirement for the market value of publicly held shares and all other applicable initial listing standards for The Nasdaq Capital Market, other than the bid price requirement, and provides written notice to Nasdaq of its intention to cure the deficiency during the second compliance period, including, if necessary, by effecting a reverse stock split. If the Company is not eligible for an additional compliance period or does not regain compliance within the applicable compliance period, Nasdaq will provide notice that the Company’s common stock will be subject to delisting. Any such delisting determination may be appealed to a Nasdaq Hearings Panel in accordance with applicable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or trading of the Company’s common stock, which will continue to be listed and traded on The Nasdaq Capital Market under the symbol “XWEL,” subject to the Company’s compliance with the other continued listing requirements of The Nasdaq Capital Market. The Company intends to actively monitor the closing bid price of its common stock and will consider available options to regain compliance with the Minimum Bid Price Requirement. There can be no assurance that the Company will regain compliance with the Minimum Bid Price Requirement within the applicable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including, but not limited to, statements regarding the Company’s compliance with the Nasdaq Listing Rules, the Company’s ability to regain compliance with Nasdaq Listing Rule 5550(a)(2), including through a possible stock split, eligibility for an additional 180 calendar-day compliance period, and the ability of the Company to cure its deficiency to continue to list its common stock on The Nasdaq Capital Market. These statements are based on current expectations and assumptions subject to risks and uncertainties beyond the Company’s control, and actual results may differ materially, including as a result of market conditions, regulatory developments, and macroeconomic factors. A discussion of these and other factors is set forth in the Company’s filings with the Securities and Exchange Commission, including its most recent Annual Report on Form 10-K and subsequent Quarterly Reports on Form 10-Q and Current Reports on Form 8-K. The Company undertakes no obligation to update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28" w:type="dxa"/>
          <w:right w:w="0" w:type="dxa"/>
        </w:tblCellMar>
      </w:tblPr>
      <w:tblGrid>
        <w:gridCol w:w="725"/>
        <w:gridCol w:w="60"/>
        <w:gridCol w:w="4955"/>
      </w:tblGrid>
      <w:tr>
        <w:trPr/>
        <w:tc>
          <w:tcPr>
            <w:tcW w:w="725" w:type="dxa"/>
            <w:tcBorders>
              <w:bottom w:val="single" w:sz="8" w:space="0" w:color="000000"/>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1052</Words>
  <Characters>5734</Characters>
  <CharactersWithSpaces>6790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