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012d2_def14a.htm"/>
      <w:bookmarkStart w:id="1" w:name="kstm2621012d2_def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05"/>
        <w:gridCol w:w="6545"/>
      </w:tblGrid>
      <w:tr>
        <w:trPr/>
        <w:tc>
          <w:tcPr>
            <w:tcW w:w="305" w:type="dxa"/>
            <w:tcBorders/>
            <w:vAlign w:val="center"/>
          </w:tcPr>
          <w:p>
            <w:pPr>
              <w:pStyle w:val="TableContents"/>
              <w:bidi w:val="0"/>
              <w:spacing w:before="0" w:after="283"/>
              <w:jc w:val="left"/>
              <w:rPr/>
            </w:pPr>
            <w:r>
              <w:rPr/>
              <w:t xml:space="preserve">☐ </w:t>
            </w:r>
          </w:p>
        </w:tc>
        <w:tc>
          <w:tcPr>
            <w:tcW w:w="6545" w:type="dxa"/>
            <w:tcBorders/>
            <w:vAlign w:val="center"/>
          </w:tcPr>
          <w:p>
            <w:pPr>
              <w:pStyle w:val="TableContents"/>
              <w:bidi w:val="0"/>
              <w:spacing w:before="0" w:after="283"/>
              <w:jc w:val="left"/>
              <w:rPr/>
            </w:pPr>
            <w:r>
              <w:rPr>
                <w:rFonts w:ascii="Times New Roman;Times;Serif" w:hAnsi="Times New Roman;Times;Serif"/>
                <w:sz w:val="20"/>
              </w:rPr>
              <w:t>Preliminary Proxy Statement</w:t>
            </w:r>
            <w:r>
              <w:rPr/>
              <w:t xml:space="preserve"> </w:t>
            </w:r>
          </w:p>
        </w:tc>
      </w:tr>
      <w:tr>
        <w:trPr/>
        <w:tc>
          <w:tcPr>
            <w:tcW w:w="30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30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xml:space="preserve">☒ </w:t>
            </w:r>
          </w:p>
        </w:tc>
        <w:tc>
          <w:tcPr>
            <w:tcW w:w="6545" w:type="dxa"/>
            <w:tcBorders/>
            <w:vAlign w:val="center"/>
          </w:tcPr>
          <w:p>
            <w:pPr>
              <w:pStyle w:val="TableContents"/>
              <w:bidi w:val="0"/>
              <w:spacing w:before="0" w:after="283"/>
              <w:jc w:val="left"/>
              <w:rPr/>
            </w:pPr>
            <w:r>
              <w:rPr>
                <w:rFonts w:ascii="Times New Roman;Times;Serif" w:hAnsi="Times New Roman;Times;Serif"/>
                <w:sz w:val="20"/>
              </w:rPr>
              <w:t>Definitive Proxy Statement</w:t>
            </w:r>
            <w:r>
              <w:rPr/>
              <w:t xml:space="preserve"> </w:t>
            </w:r>
          </w:p>
        </w:tc>
      </w:tr>
      <w:tr>
        <w:trPr/>
        <w:tc>
          <w:tcPr>
            <w:tcW w:w="30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0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14a-11(c) or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305"/>
        <w:gridCol w:w="8360"/>
      </w:tblGrid>
      <w:tr>
        <w:trPr/>
        <w:tc>
          <w:tcPr>
            <w:tcW w:w="305" w:type="dxa"/>
            <w:tcBorders/>
            <w:vAlign w:val="center"/>
          </w:tcPr>
          <w:p>
            <w:pPr>
              <w:pStyle w:val="TableContents"/>
              <w:bidi w:val="0"/>
              <w:spacing w:before="0" w:after="283"/>
              <w:jc w:val="left"/>
              <w:rPr/>
            </w:pPr>
            <w:r>
              <w:rPr/>
              <w:t xml:space="preserve">☒ </w:t>
            </w:r>
          </w:p>
        </w:tc>
        <w:tc>
          <w:tcPr>
            <w:tcW w:w="8360" w:type="dxa"/>
            <w:tcBorders/>
            <w:vAlign w:val="center"/>
          </w:tcPr>
          <w:p>
            <w:pPr>
              <w:pStyle w:val="TableContents"/>
              <w:bidi w:val="0"/>
              <w:spacing w:before="0" w:after="283"/>
              <w:jc w:val="left"/>
              <w:rPr/>
            </w:pPr>
            <w:r>
              <w:rPr>
                <w:rFonts w:ascii="Times New Roman;Times;Serif" w:hAnsi="Times New Roman;Times;Serif"/>
                <w:sz w:val="20"/>
              </w:rPr>
              <w:t>No fee required.</w:t>
            </w:r>
            <w:r>
              <w:rPr/>
              <w:t xml:space="preserve"> </w:t>
            </w:r>
          </w:p>
        </w:tc>
      </w:tr>
      <w:tr>
        <w:trPr/>
        <w:tc>
          <w:tcPr>
            <w:tcW w:w="305"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previously paid with preliminary materials.</w:t>
            </w:r>
          </w:p>
        </w:tc>
      </w:tr>
      <w:tr>
        <w:trPr/>
        <w:tc>
          <w:tcPr>
            <w:tcW w:w="305"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xml:space="preserve">☐ </w:t>
            </w:r>
          </w:p>
        </w:tc>
        <w:tc>
          <w:tcPr>
            <w:tcW w:w="8360" w:type="dxa"/>
            <w:tcBorders/>
            <w:vAlign w:val="center"/>
          </w:tcPr>
          <w:p>
            <w:pPr>
              <w:pStyle w:val="TableContents"/>
              <w:bidi w:val="0"/>
              <w:spacing w:before="0" w:after="283"/>
              <w:jc w:val="left"/>
              <w:rPr/>
            </w:pPr>
            <w:r>
              <w:rPr>
                <w:rFonts w:ascii="Times New Roman;Times;Serif" w:hAnsi="Times New Roman;Times;Serif"/>
                <w:sz w:val="20"/>
              </w:rPr>
              <w:t>Fee computed on table in exhibit required by Item 25(b) per Exchange Act Rules 14a-6(i)(1) and 0-11.</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670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67075"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October 8</w:t>
      </w:r>
      <w:r>
        <w:rPr>
          <w:rFonts w:ascii="Times New Roman;Times;Serif" w:hAnsi="Times New Roman;Times;Serif"/>
          <w:b/>
          <w:i w:val="false"/>
          <w:smallCaps/>
          <w:sz w:val="20"/>
        </w:rPr>
        <w:t>,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XpresSpa Holdings, LLC (“</w:t>
      </w:r>
      <w:r>
        <w:rPr>
          <w:rFonts w:ascii="Times New Roman;Times;Serif" w:hAnsi="Times New Roman;Times;Serif"/>
          <w:b/>
          <w:i w:val="false"/>
          <w:caps w:val="false"/>
          <w:smallCaps w:val="false"/>
          <w:sz w:val="20"/>
        </w:rPr>
        <w:t>XpresSpa</w:t>
      </w:r>
      <w:r>
        <w:rPr>
          <w:rFonts w:ascii="Times New Roman;Times;Serif" w:hAnsi="Times New Roman;Times;Serif"/>
          <w:b w:val="false"/>
          <w:i w:val="false"/>
          <w:caps w:val="false"/>
          <w:smallCaps w:val="false"/>
          <w:sz w:val="20"/>
        </w:rPr>
        <w:t>”), XpresTest, Inc. (“</w:t>
      </w:r>
      <w:r>
        <w:rPr>
          <w:rFonts w:ascii="Times New Roman;Times;Serif" w:hAnsi="Times New Roman;Times;Serif"/>
          <w:b/>
          <w:i w:val="false"/>
          <w:caps w:val="false"/>
          <w:smallCaps w:val="false"/>
          <w:sz w:val="20"/>
        </w:rPr>
        <w:t>XpresTest</w:t>
      </w:r>
      <w:r>
        <w:rPr>
          <w:rFonts w:ascii="Times New Roman;Times;Serif" w:hAnsi="Times New Roman;Times;Serif"/>
          <w:b w:val="false"/>
          <w:i w:val="false"/>
          <w:caps w:val="false"/>
          <w:smallCaps w:val="false"/>
          <w:sz w:val="20"/>
        </w:rPr>
        <w:t>” and, together with XpresSpa, the “</w:t>
      </w:r>
      <w:r>
        <w:rPr>
          <w:rFonts w:ascii="Times New Roman;Times;Serif" w:hAnsi="Times New Roman;Times;Serif"/>
          <w:b/>
          <w:i w:val="false"/>
          <w:caps w:val="false"/>
          <w:smallCaps w:val="false"/>
          <w:sz w:val="20"/>
        </w:rPr>
        <w:t>Divestiture Companies</w:t>
      </w:r>
      <w:r>
        <w:rPr>
          <w:rFonts w:ascii="Times New Roman;Times;Serif" w:hAnsi="Times New Roman;Times;Serif"/>
          <w:b w:val="false"/>
          <w:i w:val="false"/>
          <w:caps w:val="false"/>
          <w:smallCaps w:val="false"/>
          <w:sz w:val="20"/>
        </w:rPr>
        <w:t>”), and Express Wellness Group, LLC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pursuant to which, among other things, the Company has agreed to sell all of its equity interests in the Divestiture Companies for a base purchase price of $13,000,000, subject to certain adjustments, on the terms and conditions set forth in the Purchase Agreement (the “</w:t>
      </w:r>
      <w:r>
        <w:rPr>
          <w:rFonts w:ascii="Times New Roman;Times;Serif" w:hAnsi="Times New Roman;Times;Serif"/>
          <w:b/>
          <w:i w:val="false"/>
          <w:caps w:val="false"/>
          <w:smallCaps w:val="false"/>
          <w:sz w:val="20"/>
        </w:rPr>
        <w:t>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of Company stockholders, to be conducted in a virtual format only via live audio webcast at 10:00 a.m. Eastern Time, on October 28, 2026, Company stockholders will be asked to vote on a proposal to approve and adopt the Purchase Agreement (the “</w:t>
      </w:r>
      <w:r>
        <w:rPr>
          <w:rFonts w:ascii="Times New Roman;Times;Serif" w:hAnsi="Times New Roman;Times;Serif"/>
          <w:b/>
          <w:i w:val="false"/>
          <w:caps w:val="false"/>
          <w:smallCaps w:val="false"/>
          <w:sz w:val="20"/>
        </w:rPr>
        <w:t>Sale Proposal</w:t>
      </w:r>
      <w:r>
        <w:rPr>
          <w:rFonts w:ascii="Times New Roman;Times;Serif" w:hAnsi="Times New Roman;Times;Serif"/>
          <w:b w:val="false"/>
          <w:i w:val="false"/>
          <w:caps w:val="false"/>
          <w:smallCaps w:val="false"/>
          <w:sz w:val="20"/>
        </w:rPr>
        <w:t>”). Approval of the Sale Proposal requires the affirmative vote of the holders of a majority of the outstanding shares of the Company’s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Company stockholders will also be asked to approve, (i) on an advisory (non-binding) basis, the compensation that may be paid or become payable to the Company’s named executive officers that is based on or otherwise relates to the Sale (the “</w:t>
      </w:r>
      <w:r>
        <w:rPr>
          <w:rFonts w:ascii="Times New Roman;Times;Serif" w:hAnsi="Times New Roman;Times;Serif"/>
          <w:b/>
          <w:i w:val="false"/>
          <w:caps w:val="false"/>
          <w:smallCaps w:val="false"/>
          <w:sz w:val="20"/>
        </w:rPr>
        <w:t>Compensation Proposal</w:t>
      </w:r>
      <w:r>
        <w:rPr>
          <w:rFonts w:ascii="Times New Roman;Times;Serif" w:hAnsi="Times New Roman;Times;Serif"/>
          <w:b w:val="false"/>
          <w:i w:val="false"/>
          <w:caps w:val="false"/>
          <w:smallCaps w:val="false"/>
          <w:sz w:val="20"/>
        </w:rPr>
        <w:t>”), (ii) the increase of the number of shares of Common Stock reserved for issuance under the XWELL, Inc. 2020 Equity Incentive Plan (the “2020 Plan”) from 3,125,000 to 4,346,134 (the “</w:t>
      </w:r>
      <w:r>
        <w:rPr>
          <w:rFonts w:ascii="Times New Roman;Times;Serif" w:hAnsi="Times New Roman;Times;Serif"/>
          <w:b/>
          <w:i w:val="false"/>
          <w:caps w:val="false"/>
          <w:smallCaps w:val="false"/>
          <w:sz w:val="20"/>
        </w:rPr>
        <w:t>Incentive Plan Proposal</w:t>
      </w:r>
      <w:r>
        <w:rPr>
          <w:rFonts w:ascii="Times New Roman;Times;Serif" w:hAnsi="Times New Roman;Times;Serif"/>
          <w:b w:val="false"/>
          <w:i w:val="false"/>
          <w:caps w:val="false"/>
          <w:smallCaps w:val="false"/>
          <w:sz w:val="20"/>
        </w:rPr>
        <w:t>”), and (iii)  any adjournment of the Special Meeting, if necessary or appropriate, to solicit additional proxies in favor of the Sale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Approval of the Compensation Proposal on an advisory (non-binding) basis, the Incentive Plan Proposal, and of the Adjournment Proposal each requires the affirmative vote of a majority of the votes cast by the stockholders present virtually or represented by proxy, voting affirmatively or negatively at the Special Meeting and entitled to vote on the Compensation Proposal, the Incentive Plan Proposal, and the Adjournment Proposal.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unanimously recommends that XWELL stockholders vote “FOR” the Sale Proposal, “FOR” the Compensation Proposal, “FOR” the Incentive Plan Proposal, and “FOR” the 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Record Date is the close of business on October 7, 2026. Your vote is very important, regardless of the number of shares of Common Stock you own.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is a condition to completion of the Sale. If the Sale Proposal is not approved, the Sale will not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the Special Meeting solely by means of remote communication via a live audio webcast at 10:00 a.m. Eastern Time, on October 28, 2026. All holders of record of shares of Common Stock as of the Record Date who pre-register by following the instructions in the accompanying proxy statement will be able to attend, vote and participate in the Special Meeting by visiting </w:t>
      </w:r>
      <w:r>
        <w:rPr>
          <w:rFonts w:ascii="Times New Roman;Times;Serif" w:hAnsi="Times New Roman;Times;Serif"/>
          <w:b w:val="false"/>
          <w:i w:val="false"/>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and entering the 11-digit control number found on the enclosed proxy card or voting form. If you encounter any difficulties accessing the virtual Special Meeting, please call the technical support number available on the virtual meeting page on the morning of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your shares, you may use the enclosed proxy card, vote by telephone or over the Internet, or attend the meeting and vote virtually.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Special Meeting and vote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failure to vote your shares of Common Stock will have the same effect as voting “AGAINST” 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attend the Special Meeting, it is important that your shares be represented and voted at the meeting. Therefore, on behalf of the Board, I urge you to submit your vote as soon as possible. If you decide to attend the Special Meeting virtually, you will be able to change your vote, revoke your proxy or vote electronically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obligations of the Company and the Buyer to complete the Sale are subject to the satisfaction or waiver of certain conditions. The accompanying proxy statement contains detailed information about the Company, the Special Meeting, the Purchase Agreement, the Sale and the other transactions contemplated by the Purchase Agreement. We encourage you to read the proxy statement carefully and in its entirety before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and Company management, we thank you for your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Bruce Bernstein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6707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67075" cy="6000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 of Special Meeting of Stockholders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to be Held on OctOber 28</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sz w:val="20"/>
        </w:rPr>
        <w:t>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to the holders of the shares of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a special meeting of Company stockholders (including any adjournment, postponement or rescheduling thereof,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October 28, 2026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TIME</w:t>
      </w:r>
      <w:r>
        <w:rPr>
          <w:rFonts w:ascii="Times New Roman;Times;Serif" w:hAnsi="Times New Roman;Times;Serif"/>
          <w:b w:val="false"/>
          <w:i w:val="false"/>
          <w:caps w:val="false"/>
          <w:smallCaps w:val="false"/>
          <w:sz w:val="20"/>
        </w:rPr>
        <w:t xml:space="preserve">:                10:00 a.m. Eastern Time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ACCESS</w:t>
      </w:r>
      <w:r>
        <w:rPr>
          <w:rFonts w:ascii="Times New Roman;Times;Serif" w:hAnsi="Times New Roman;Times;Serif"/>
          <w:b w:val="false"/>
          <w:i w:val="false"/>
          <w:caps w:val="false"/>
          <w:smallCaps w:val="false"/>
          <w:sz w:val="20"/>
        </w:rPr>
        <w:t xml:space="preserve">:          The Special Meeting will be held in a virtual meeting format only, via live audio webcast on the Internet. Stockholders will not be able to attend the Special Meeting in person. Stockholders will be able to attend the Special Meeting by first pre-registering at </w:t>
      </w:r>
      <w:r>
        <w:rPr>
          <w:rFonts w:ascii="Times New Roman;Times;Serif" w:hAnsi="Times New Roman;Times;Serif"/>
          <w:b w:val="false"/>
          <w:i w:val="false"/>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by 11:59 p.m. Eastern Time on October 27, 2026. You will receive a meeting invitation by email with your unique link, along with a password, prior to the meeting date. If you have any questions or require any assistance with pre-registering, please contact the Company’s proxy solicitor, Alliance Advisors, LLC (“</w:t>
      </w:r>
      <w:r>
        <w:rPr>
          <w:rFonts w:ascii="Times New Roman;Times;Serif" w:hAnsi="Times New Roman;Times;Serif"/>
          <w:b/>
          <w:i w:val="false"/>
          <w:caps w:val="false"/>
          <w:smallCaps w:val="false"/>
          <w:sz w:val="20"/>
        </w:rPr>
        <w:t>Alliance</w:t>
      </w:r>
      <w:r>
        <w:rPr>
          <w:rFonts w:ascii="Times New Roman;Times;Serif" w:hAnsi="Times New Roman;Times;Serif"/>
          <w:b w:val="false"/>
          <w:i w:val="false"/>
          <w:caps w:val="false"/>
          <w:smallCaps w:val="false"/>
          <w:sz w:val="20"/>
        </w:rPr>
        <w:t xml:space="preserve">”), by calling 866-612-8937 or by email at VirtualMeeting@viewproxy.com.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At the Special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
        <w:gridCol w:w="141"/>
        <w:gridCol w:w="9980"/>
      </w:tblGrid>
      <w:tr>
        <w:trPr/>
        <w:tc>
          <w:tcPr>
            <w:tcW w:w="84"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pPr>
            <w:r>
              <w:rPr>
                <w:rFonts w:ascii="Times New Roman;Times;Serif" w:hAnsi="Times New Roman;Times;Serif"/>
                <w:b/>
                <w:sz w:val="20"/>
              </w:rPr>
              <w:t xml:space="preserve">Sale Proposal. </w:t>
            </w:r>
            <w:r>
              <w:rPr>
                <w:sz w:val="20"/>
              </w:rPr>
              <w:t>To consider and vote upon a proposal (the “</w:t>
            </w:r>
            <w:r>
              <w:rPr>
                <w:b/>
                <w:sz w:val="20"/>
              </w:rPr>
              <w:t>Sale Proposal</w:t>
            </w:r>
            <w:r>
              <w:rPr>
                <w:sz w:val="20"/>
              </w:rPr>
              <w:t>” or “</w:t>
            </w:r>
            <w:r>
              <w:rPr>
                <w:b/>
                <w:sz w:val="20"/>
              </w:rPr>
              <w:t>Proposal 1</w:t>
            </w:r>
            <w:r>
              <w:rPr>
                <w:sz w:val="20"/>
              </w:rPr>
              <w:t>”) to approve and adopt the Securities Purchase Agreement, dated as of July 6, 2026 (the “</w:t>
            </w:r>
            <w:r>
              <w:rPr>
                <w:b/>
                <w:sz w:val="20"/>
              </w:rPr>
              <w:t>Purchase Agreement</w:t>
            </w:r>
            <w:r>
              <w:rPr>
                <w:sz w:val="20"/>
              </w:rPr>
              <w:t>”), by and among the Company, XpresSpa Holdings, LLC, a Delaware limited liability company (“</w:t>
            </w:r>
            <w:r>
              <w:rPr>
                <w:b/>
                <w:sz w:val="20"/>
              </w:rPr>
              <w:t>XpresSpa</w:t>
            </w:r>
            <w:r>
              <w:rPr>
                <w:sz w:val="20"/>
              </w:rPr>
              <w:t>”), XpresTest, Inc., a Delaware corporation (“</w:t>
            </w:r>
            <w:r>
              <w:rPr>
                <w:b/>
                <w:sz w:val="20"/>
              </w:rPr>
              <w:t>XpresTest</w:t>
            </w:r>
            <w:r>
              <w:rPr>
                <w:sz w:val="20"/>
              </w:rPr>
              <w:t>” and, together with XpresSpa Holdings, the “</w:t>
            </w:r>
            <w:r>
              <w:rPr>
                <w:b/>
                <w:sz w:val="20"/>
              </w:rPr>
              <w:t>Divestiture Companies</w:t>
            </w:r>
            <w:r>
              <w:rPr>
                <w:sz w:val="20"/>
              </w:rPr>
              <w:t>”), and Express Wellness Group, LLC, a Delaware limited liability company (the “</w:t>
            </w:r>
            <w:r>
              <w:rPr>
                <w:b/>
                <w:sz w:val="20"/>
              </w:rPr>
              <w:t>Buyer</w:t>
            </w:r>
            <w:r>
              <w:rPr>
                <w:sz w:val="20"/>
              </w:rPr>
              <w:t>”), and to approve the sale of all of the Company’s equity interests in the Divestiture Companies on the terms and conditions set forth in the Purchase Agreement (the “</w:t>
            </w:r>
            <w:r>
              <w:rPr>
                <w:b/>
                <w:sz w:val="20"/>
              </w:rPr>
              <w:t>Sale</w:t>
            </w:r>
            <w:r>
              <w:rPr>
                <w:sz w:val="20"/>
              </w:rPr>
              <w:t>”);  </w:t>
            </w:r>
          </w:p>
        </w:tc>
      </w:tr>
      <w:tr>
        <w:trPr/>
        <w:tc>
          <w:tcPr>
            <w:tcW w:w="84"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pPr>
            <w:r>
              <w:rPr/>
              <w:t> </w:t>
            </w:r>
          </w:p>
        </w:tc>
        <w:tc>
          <w:tcPr>
            <w:tcW w:w="9980"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both"/>
              <w:rPr/>
            </w:pPr>
            <w:r>
              <w:rPr/>
              <w:t xml:space="preserve">  </w:t>
            </w:r>
          </w:p>
        </w:tc>
        <w:tc>
          <w:tcPr>
            <w:tcW w:w="141" w:type="dxa"/>
            <w:tcBorders/>
            <w:vAlign w:val="center"/>
          </w:tcPr>
          <w:p>
            <w:pPr>
              <w:pStyle w:val="TableContents"/>
              <w:bidi w:val="0"/>
              <w:spacing w:before="0" w:after="283"/>
              <w:jc w:val="both"/>
              <w:rPr/>
            </w:pPr>
            <w:r>
              <w:rPr>
                <w:rFonts w:ascii="Times New Roman;Times;Serif" w:hAnsi="Times New Roman;Times;Serif"/>
                <w:sz w:val="20"/>
              </w:rPr>
              <w:t>2.</w:t>
            </w:r>
            <w:r>
              <w:rPr/>
              <w:t xml:space="preserve"> </w:t>
            </w:r>
          </w:p>
        </w:tc>
        <w:tc>
          <w:tcPr>
            <w:tcW w:w="9980" w:type="dxa"/>
            <w:tcBorders/>
            <w:vAlign w:val="center"/>
          </w:tcPr>
          <w:p>
            <w:pPr>
              <w:pStyle w:val="TableContents"/>
              <w:bidi w:val="0"/>
              <w:spacing w:before="0" w:after="283"/>
              <w:jc w:val="both"/>
              <w:rPr/>
            </w:pPr>
            <w:r>
              <w:rPr>
                <w:rFonts w:ascii="Times New Roman;Times;Serif" w:hAnsi="Times New Roman;Times;Serif"/>
                <w:b/>
                <w:sz w:val="20"/>
              </w:rPr>
              <w:t xml:space="preserve">Compensation Proposal. </w:t>
            </w:r>
            <w:r>
              <w:rPr>
                <w:sz w:val="20"/>
              </w:rPr>
              <w:t>To approve, on a non-binding, advisory basis, certain compensation that will or may become payable to our named executive officers in connection with the Sale (the “</w:t>
            </w:r>
            <w:r>
              <w:rPr>
                <w:b/>
                <w:sz w:val="20"/>
              </w:rPr>
              <w:t>Compensation Proposal</w:t>
            </w:r>
            <w:r>
              <w:rPr>
                <w:sz w:val="20"/>
              </w:rPr>
              <w:t>” or “</w:t>
            </w:r>
            <w:r>
              <w:rPr>
                <w:b/>
                <w:sz w:val="20"/>
              </w:rPr>
              <w:t>Proposal 2</w:t>
            </w:r>
            <w:r>
              <w:rPr>
                <w:sz w:val="20"/>
              </w:rPr>
              <w:t xml:space="preserve">”); </w:t>
            </w:r>
          </w:p>
        </w:tc>
      </w:tr>
      <w:tr>
        <w:trPr/>
        <w:tc>
          <w:tcPr>
            <w:tcW w:w="84"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pPr>
            <w:r>
              <w:rPr/>
              <w:t> </w:t>
            </w:r>
          </w:p>
        </w:tc>
        <w:tc>
          <w:tcPr>
            <w:tcW w:w="9980" w:type="dxa"/>
            <w:tcBorders/>
            <w:vAlign w:val="center"/>
          </w:tcPr>
          <w:p>
            <w:pPr>
              <w:pStyle w:val="TableContents"/>
              <w:bidi w:val="0"/>
              <w:spacing w:before="0" w:after="283"/>
              <w:jc w:val="both"/>
              <w:rPr/>
            </w:pPr>
            <w:r>
              <w:rPr/>
              <w:t> </w:t>
            </w:r>
          </w:p>
        </w:tc>
      </w:tr>
      <w:tr>
        <w:trPr/>
        <w:tc>
          <w:tcPr>
            <w:tcW w:w="84" w:type="dxa"/>
            <w:tcBorders/>
            <w:vAlign w:val="center"/>
          </w:tcPr>
          <w:p>
            <w:pPr>
              <w:pStyle w:val="TableContents"/>
              <w:bidi w:val="0"/>
              <w:spacing w:before="0" w:after="283"/>
              <w:jc w:val="both"/>
              <w:rPr/>
            </w:pPr>
            <w:r>
              <w:rPr/>
              <w:t xml:space="preserve">  </w:t>
            </w:r>
          </w:p>
        </w:tc>
        <w:tc>
          <w:tcPr>
            <w:tcW w:w="141" w:type="dxa"/>
            <w:tcBorders/>
            <w:vAlign w:val="center"/>
          </w:tcPr>
          <w:p>
            <w:pPr>
              <w:pStyle w:val="TableContents"/>
              <w:bidi w:val="0"/>
              <w:spacing w:before="0" w:after="283"/>
              <w:jc w:val="both"/>
              <w:rPr/>
            </w:pPr>
            <w:r>
              <w:rPr>
                <w:rFonts w:ascii="Times New Roman;Times;Serif" w:hAnsi="Times New Roman;Times;Serif"/>
                <w:sz w:val="20"/>
              </w:rPr>
              <w:t>3.</w:t>
            </w:r>
            <w:r>
              <w:rPr/>
              <w:t xml:space="preserve"> </w:t>
            </w:r>
          </w:p>
        </w:tc>
        <w:tc>
          <w:tcPr>
            <w:tcW w:w="9980" w:type="dxa"/>
            <w:tcBorders/>
            <w:vAlign w:val="center"/>
          </w:tcPr>
          <w:p>
            <w:pPr>
              <w:pStyle w:val="TableContents"/>
              <w:bidi w:val="0"/>
              <w:spacing w:before="0" w:after="283"/>
              <w:jc w:val="both"/>
              <w:rPr/>
            </w:pPr>
            <w:r>
              <w:rPr>
                <w:rFonts w:ascii="Times New Roman;Times;Serif" w:hAnsi="Times New Roman;Times;Serif"/>
                <w:b/>
                <w:sz w:val="20"/>
              </w:rPr>
              <w:t>Incentive Plan Proposal.  </w:t>
            </w:r>
            <w:r>
              <w:rPr>
                <w:sz w:val="20"/>
              </w:rPr>
              <w:t xml:space="preserve">To approve the increase of the number of shares of Common Stock reserved for issuance under the XWELL, Inc. 2020 Plan from 3,125,000 to 4,346,134. </w:t>
            </w:r>
            <w:r>
              <w:rPr>
                <w:b/>
                <w:sz w:val="20"/>
              </w:rPr>
              <w:t>(</w:t>
            </w:r>
            <w:r>
              <w:rPr>
                <w:sz w:val="20"/>
              </w:rPr>
              <w:t xml:space="preserve">the “ </w:t>
            </w:r>
            <w:r>
              <w:rPr>
                <w:b/>
                <w:sz w:val="20"/>
              </w:rPr>
              <w:t>Incentive Plan Proposal</w:t>
            </w:r>
            <w:r>
              <w:rPr>
                <w:sz w:val="20"/>
              </w:rPr>
              <w:t>” or “</w:t>
            </w:r>
            <w:r>
              <w:rPr>
                <w:b/>
                <w:sz w:val="20"/>
              </w:rPr>
              <w:t>Proposal 3</w:t>
            </w:r>
            <w:r>
              <w:rPr>
                <w:sz w:val="20"/>
              </w:rPr>
              <w:t>”); and</w:t>
            </w:r>
            <w:r>
              <w:rPr/>
              <w:t xml:space="preserve"> </w:t>
            </w:r>
          </w:p>
        </w:tc>
      </w:tr>
      <w:tr>
        <w:trPr/>
        <w:tc>
          <w:tcPr>
            <w:tcW w:w="84"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pPr>
            <w:r>
              <w:rPr/>
              <w:t> </w:t>
            </w:r>
          </w:p>
        </w:tc>
        <w:tc>
          <w:tcPr>
            <w:tcW w:w="9980" w:type="dxa"/>
            <w:tcBorders/>
            <w:vAlign w:val="center"/>
          </w:tcPr>
          <w:p>
            <w:pPr>
              <w:pStyle w:val="TableContents"/>
              <w:bidi w:val="0"/>
              <w:spacing w:before="0" w:after="283"/>
              <w:jc w:val="both"/>
              <w:rPr/>
            </w:pPr>
            <w:r>
              <w:rPr/>
              <w:t> </w:t>
            </w:r>
          </w:p>
        </w:tc>
      </w:tr>
      <w:tr>
        <w:trPr/>
        <w:tc>
          <w:tcPr>
            <w:tcW w:w="84" w:type="dxa"/>
            <w:tcBorders/>
            <w:vAlign w:val="center"/>
          </w:tcPr>
          <w:p>
            <w:pPr>
              <w:pStyle w:val="TableContents"/>
              <w:bidi w:val="0"/>
              <w:spacing w:before="0" w:after="283"/>
              <w:jc w:val="both"/>
              <w:rPr/>
            </w:pPr>
            <w:r>
              <w:rPr/>
              <w:t xml:space="preserve">  </w:t>
            </w:r>
          </w:p>
        </w:tc>
        <w:tc>
          <w:tcPr>
            <w:tcW w:w="141" w:type="dxa"/>
            <w:tcBorders/>
            <w:vAlign w:val="center"/>
          </w:tcPr>
          <w:p>
            <w:pPr>
              <w:pStyle w:val="TableContents"/>
              <w:bidi w:val="0"/>
              <w:spacing w:before="0" w:after="283"/>
              <w:jc w:val="both"/>
              <w:rPr/>
            </w:pPr>
            <w:r>
              <w:rPr>
                <w:rFonts w:ascii="Times New Roman;Times;Serif" w:hAnsi="Times New Roman;Times;Serif"/>
                <w:sz w:val="20"/>
              </w:rPr>
              <w:t>4.</w:t>
            </w:r>
            <w:r>
              <w:rPr/>
              <w:t xml:space="preserve"> </w:t>
            </w:r>
          </w:p>
        </w:tc>
        <w:tc>
          <w:tcPr>
            <w:tcW w:w="9980" w:type="dxa"/>
            <w:tcBorders/>
            <w:vAlign w:val="center"/>
          </w:tcPr>
          <w:p>
            <w:pPr>
              <w:pStyle w:val="TableContents"/>
              <w:bidi w:val="0"/>
              <w:spacing w:before="0" w:after="283"/>
              <w:jc w:val="both"/>
              <w:rPr/>
            </w:pPr>
            <w:r>
              <w:rPr>
                <w:rFonts w:ascii="Times New Roman;Times;Serif" w:hAnsi="Times New Roman;Times;Serif"/>
                <w:b/>
                <w:sz w:val="20"/>
              </w:rPr>
              <w:t>Adjournment Proposal</w:t>
            </w:r>
            <w:r>
              <w:rPr>
                <w:sz w:val="20"/>
              </w:rPr>
              <w:t>.  To approve any adjournment of the Special Meeting from time to time, if necessary or appropriate, to solicit additional votes in the event that there are insufficient shares present virtually or represented by proxy voting in favor of the foregoing proposals (the “</w:t>
            </w:r>
            <w:r>
              <w:rPr>
                <w:b/>
                <w:sz w:val="20"/>
              </w:rPr>
              <w:t>Adjournment Proposal</w:t>
            </w:r>
            <w:r>
              <w:rPr>
                <w:sz w:val="20"/>
              </w:rPr>
              <w:t>” or “</w:t>
            </w:r>
            <w:r>
              <w:rPr>
                <w:b/>
                <w:sz w:val="20"/>
              </w:rPr>
              <w:t>Proposal 4</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transact no other business at the Special Meeting. Please refer to the accompanying proxy statement of which this notice is a part for further information with respect to the business to be transacted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is seeking stockholder approval of the Sale because the Company is a Delaware corporation, and the Sale may constitute the sale of “substantially all” of our property and assets under Section 271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XWELL’s health and wellness retail locations outside of airports (the “</w:t>
      </w:r>
      <w:r>
        <w:rPr>
          <w:rFonts w:ascii="Times New Roman;Times;Serif" w:hAnsi="Times New Roman;Times;Serif"/>
          <w:b/>
          <w:i w:val="false"/>
          <w:caps w:val="false"/>
          <w:smallCaps w:val="false"/>
          <w:sz w:val="20"/>
        </w:rPr>
        <w:t>Retained Ex-Airport Business</w:t>
      </w:r>
      <w:r>
        <w:rPr>
          <w:rFonts w:ascii="Times New Roman;Times;Serif" w:hAnsi="Times New Roman;Times;Serif"/>
          <w:b w:val="false"/>
          <w:i w:val="false"/>
          <w:caps w:val="false"/>
          <w:smallCaps w:val="false"/>
          <w:sz w:val="20"/>
        </w:rPr>
        <w:t>”) will be retained by XWELL and are not included in the Sale. However, we are seeking the approval of Company stockholders for the Sale because the question of whether the Sale constitutes the sale of substantially all of the assets of the Company under the DGCL is highly fact-specific, and because the Board considered the action appropriate and strongly desires the input of Company stockholders, given the financial significance of the Divestiture Companies. Section 271 of the DGCL requires that a Delaware corporation obtain the approval of the holders of a majority of the corporation’s outstanding voting power entitled to vote thereon for the sale of “all or substantially all of its property and assets.” Additionally, approval of the Sale by holders of a majority in voting power of our outstanding stock is a closing condition under the Purchase Agreement. If the Sale Proposal is not approved, the Sale will not be completed, even if the other proposals are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of the Purchase Agreement, the Buyer will pay the Company $13 million in cash, subject to certain adjustments. The transaction is expected to close in the fourth quarter of 2026, subject to Company stockholder approval and certain other closing conditions. Upon the closing of this transaction, the Buyer will also acquire the rights to the XWELL name and trademark.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referred to the proxy statement for more detailed information with respect to the matters to be considered at the Special Meeting. After careful consideration, </w:t>
      </w:r>
      <w:r>
        <w:rPr>
          <w:rFonts w:ascii="Times New Roman;Times;Serif" w:hAnsi="Times New Roman;Times;Serif"/>
          <w:b/>
          <w:i w:val="false"/>
          <w:caps w:val="false"/>
          <w:smallCaps w:val="false"/>
          <w:sz w:val="20"/>
        </w:rPr>
        <w:t>the Board recommends a vote “FOR” each of the Sale Proposal, the Compensation Proposal, the Incentive Plan Proposal, and the 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October 7,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for the Special Meeting. Only holders of record of shares of our Common Stock on the Record Date are entitled to receive notice of the Special Meeting and to vote at the Special Meeting or at any postponement(s) or adjournment(s) of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“FOR” the Sale Proposal, the Compensation Proposal, the Incentive Plan Proposal, and the Adjournment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registered stockholders entitled to vote at the Special Meeting will be available for examination during normal business hours for ten (10) calendar days before the Special Meeting at our address above. To the extent office access is impracticable, please feel free to contact our proxy solicitor, Alliance Advisors, LLC, by calling toll free at 1-833-215-7321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 The email should state the purpose of the request and provide proof of ownership of our voting securities as of the Record Date. The stockholder list will also be available online during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Special Meeting. Instructions regarding these methods of voting are contained in the proxy statement or the proxy card. Please vote by whichever method is most convenient for you to ensure that your shares are represented at the Special Meeting. </w:t>
      </w:r>
      <w:r>
        <w:rPr>
          <w:rFonts w:ascii="Times New Roman;Times;Serif" w:hAnsi="Times New Roman;Times;Serif"/>
          <w:b/>
          <w:i w:val="false"/>
          <w:caps w:val="false"/>
          <w:smallCaps w:val="false"/>
          <w:sz w:val="20"/>
        </w:rPr>
        <w:t>The failure to vote your shares of Common Stock will have the same effect as voting “AGAINST” 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IT IS IMPORTANT THAT YOUR SHARES ARE REPRESENTED AT THE SPECIAL MEETING, REGARDLESS OF WHETHER YOU PLAN TO ATTEND VIRTUALLY. ACCORDINGLY, WE ENCOURAGE YOU, AS PROMPTLY AS POSSIBLE, TO COMPLETE, SIGN, DATE AND PROMPTLY RETURN THE ENCLOSED PROXY CARD IN ORDER TO ENSURE YOUR REPRESENTATION AT THE SPECIAL MEETING. GIVING YOUR PROXY WILL NOT AFFECT YOUR RIGHT TO VOTE VIRTUALLY IF YOU ATTEND THE SPECIAL MEETING, BUT WILL HELP ASSURE A QUORUM. ATTENDANCE AT THE SPECIAL MEETING IS LIMITED TO STOCKHOLDERS, THEIR PROXIES AND INVITED GUESTS OF THE COMPANY. FOR IDENTIFICATION PURPOSES, “STREET NAME” STOCKHOLDERS WILL NEED TO OBTAIN A LEGAL PROXY FROM THEIR BROKER, BANK OR OTHER NOMINEE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 Advisors, LLC: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XWEL@allianceadvisors.com</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w:t>
      </w:r>
    </w:p>
    <w:p>
      <w:pPr>
        <w:pStyle w:val="TextBody"/>
        <w:bidi w:val="0"/>
        <w:spacing w:before="0" w:after="283"/>
        <w:jc w:val="left"/>
        <w:rPr/>
      </w:pPr>
      <w:r>
        <w:rPr/>
        <w:t> </w:t>
      </w:r>
    </w:p>
    <w:tbl>
      <w:tblPr>
        <w:tblW w:w="3290" w:type="dxa"/>
        <w:jc w:val="left"/>
        <w:tblInd w:w="0" w:type="dxa"/>
        <w:tblLayout w:type="fixed"/>
        <w:tblCellMar>
          <w:top w:w="0" w:type="dxa"/>
          <w:left w:w="0" w:type="dxa"/>
          <w:bottom w:w="28" w:type="dxa"/>
          <w:right w:w="0" w:type="dxa"/>
        </w:tblCellMar>
      </w:tblPr>
      <w:tblGrid>
        <w:gridCol w:w="3155"/>
        <w:gridCol w:w="135"/>
      </w:tblGrid>
      <w:tr>
        <w:trPr/>
        <w:tc>
          <w:tcPr>
            <w:tcW w:w="3155" w:type="dxa"/>
            <w:tcBorders>
              <w:bottom w:val="single" w:sz="8" w:space="0" w:color="000000"/>
            </w:tcBorders>
            <w:vAlign w:val="center"/>
          </w:tcPr>
          <w:p>
            <w:pPr>
              <w:pStyle w:val="TableContents"/>
              <w:bidi w:val="0"/>
              <w:spacing w:before="0" w:after="283"/>
              <w:jc w:val="both"/>
              <w:rPr/>
            </w:pPr>
            <w:r>
              <w:rPr/>
              <w:t xml:space="preserve">/s/ Ezra T. Ernst </w:t>
            </w:r>
          </w:p>
        </w:tc>
        <w:tc>
          <w:tcPr>
            <w:tcW w:w="135" w:type="dxa"/>
            <w:tcBorders/>
            <w:tcMar>
              <w:bottom w:w="0" w:type="dxa"/>
            </w:tcMar>
            <w:vAlign w:val="center"/>
          </w:tcPr>
          <w:p>
            <w:pPr>
              <w:pStyle w:val="TableContents"/>
              <w:bidi w:val="0"/>
              <w:spacing w:before="0" w:after="283"/>
              <w:jc w:val="both"/>
              <w:rPr/>
            </w:pPr>
            <w:r>
              <w:rPr/>
              <w:t xml:space="preserve">  </w:t>
            </w:r>
          </w:p>
        </w:tc>
      </w:tr>
      <w:tr>
        <w:trPr/>
        <w:tc>
          <w:tcPr>
            <w:tcW w:w="3155" w:type="dxa"/>
            <w:tcBorders/>
            <w:tcMar>
              <w:bottom w:w="0" w:type="dxa"/>
            </w:tcMar>
            <w:vAlign w:val="center"/>
          </w:tcPr>
          <w:p>
            <w:pPr>
              <w:pStyle w:val="TableContents"/>
              <w:bidi w:val="0"/>
              <w:spacing w:before="0" w:after="283"/>
              <w:jc w:val="both"/>
              <w:rPr/>
            </w:pPr>
            <w:r>
              <w:rPr>
                <w:rFonts w:ascii="Times New Roman;Times;Serif" w:hAnsi="Times New Roman;Times;Serif"/>
                <w:sz w:val="20"/>
              </w:rPr>
              <w:t>Ezra T. Ernst</w:t>
            </w:r>
            <w:r>
              <w:rPr/>
              <w:t xml:space="preserve"> </w:t>
            </w:r>
          </w:p>
        </w:tc>
        <w:tc>
          <w:tcPr>
            <w:tcW w:w="135" w:type="dxa"/>
            <w:tcBorders/>
            <w:tcMar>
              <w:bottom w:w="0" w:type="dxa"/>
            </w:tcMar>
            <w:vAlign w:val="center"/>
          </w:tcPr>
          <w:p>
            <w:pPr>
              <w:pStyle w:val="TableContents"/>
              <w:bidi w:val="0"/>
              <w:spacing w:before="0" w:after="283"/>
              <w:jc w:val="both"/>
              <w:rPr/>
            </w:pPr>
            <w:r>
              <w:rPr/>
              <w:t xml:space="preserve">  </w:t>
            </w:r>
          </w:p>
        </w:tc>
      </w:tr>
      <w:tr>
        <w:trPr/>
        <w:tc>
          <w:tcPr>
            <w:tcW w:w="3155" w:type="dxa"/>
            <w:tcBorders/>
            <w:tcMar>
              <w:bottom w:w="0" w:type="dxa"/>
            </w:tcMar>
            <w:vAlign w:val="center"/>
          </w:tcPr>
          <w:p>
            <w:pPr>
              <w:pStyle w:val="TableContents"/>
              <w:bidi w:val="0"/>
              <w:spacing w:before="0" w:after="283"/>
              <w:jc w:val="both"/>
              <w:rPr/>
            </w:pPr>
            <w:r>
              <w:rPr>
                <w:rFonts w:ascii="Times New Roman;Times;Serif" w:hAnsi="Times New Roman;Times;Serif"/>
                <w:sz w:val="20"/>
              </w:rPr>
              <w:t>President and Chief Executive Officer</w:t>
            </w:r>
            <w:r>
              <w:rPr/>
              <w:t xml:space="preserve"> </w:t>
            </w:r>
          </w:p>
        </w:tc>
        <w:tc>
          <w:tcPr>
            <w:tcW w:w="135" w:type="dxa"/>
            <w:tcBorders/>
            <w:tcMar>
              <w:bottom w:w="0" w:type="dxa"/>
            </w:tcMar>
            <w:vAlign w:val="center"/>
          </w:tcPr>
          <w:p>
            <w:pPr>
              <w:pStyle w:val="TableContents"/>
              <w:bidi w:val="0"/>
              <w:spacing w:before="0" w:after="283"/>
              <w:jc w:val="both"/>
              <w:rPr/>
            </w:pPr>
            <w:r>
              <w:rPr/>
              <w:t xml:space="preserve">  </w:t>
            </w:r>
          </w:p>
        </w:tc>
      </w:tr>
      <w:tr>
        <w:trPr/>
        <w:tc>
          <w:tcPr>
            <w:tcW w:w="3155" w:type="dxa"/>
            <w:tcBorders/>
            <w:tcMar>
              <w:bottom w:w="0" w:type="dxa"/>
            </w:tcMar>
            <w:vAlign w:val="center"/>
          </w:tcPr>
          <w:p>
            <w:pPr>
              <w:pStyle w:val="TableContents"/>
              <w:bidi w:val="0"/>
              <w:spacing w:before="0" w:after="283"/>
              <w:jc w:val="both"/>
              <w:rPr/>
            </w:pPr>
            <w:r>
              <w:rPr>
                <w:rFonts w:ascii="Times New Roman;Times;Serif" w:hAnsi="Times New Roman;Times;Serif"/>
                <w:sz w:val="20"/>
              </w:rPr>
              <w:t>October 8, 2026</w:t>
            </w:r>
            <w:r>
              <w:rPr/>
              <w:t xml:space="preserve"> </w:t>
            </w:r>
          </w:p>
        </w:tc>
        <w:tc>
          <w:tcPr>
            <w:tcW w:w="135" w:type="dxa"/>
            <w:tcBorders/>
            <w:tcMar>
              <w:bottom w:w="0" w:type="dxa"/>
            </w:tcMar>
            <w:vAlign w:val="center"/>
          </w:tcPr>
          <w:p>
            <w:pPr>
              <w:pStyle w:val="TableContents"/>
              <w:bidi w:val="0"/>
              <w:spacing w:before="0" w:after="283"/>
              <w:jc w:val="both"/>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constitutes a proxy statement for the Company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notice of meeting with respect to the Special Meeting of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should rely only on the information contained in this proxy statement, including the annexes hereto. No one has been authorized to provide you with information that is different from that contained in this proxy statement and the annexes hereto. This proxy statement is dated October 8, 2026. You should not assume that the information contained in this proxy statement is accurate as of any date other than that date. Our mailing of this proxy statement to Company stockholders will not create any implication to the contrary.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proxy statement regarding the Company has been provided by the Company, and information contained in this proxy statement regarding the Buyer has been provided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100"/>
        <w:gridCol w:w="275"/>
      </w:tblGrid>
      <w:tr>
        <w:trPr/>
        <w:tc>
          <w:tcPr>
            <w:tcW w:w="710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right"/>
              <w:rPr/>
            </w:pPr>
            <w:hyperlink w:anchor="sp_001">
              <w:r>
                <w:rPr>
                  <w:rStyle w:val="InternetLink"/>
                </w:rPr>
                <w:t>1</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sz w:val="20"/>
                </w:rPr>
                <w:t xml:space="preserve">QUESTIONS AND ANSWERS ABOUT THE SPECIAL MEETING, THE ASSET SALE </w:t>
              </w:r>
            </w:hyperlink>
          </w:p>
        </w:tc>
        <w:tc>
          <w:tcPr>
            <w:tcW w:w="275" w:type="dxa"/>
            <w:tcBorders/>
            <w:shd w:fill="CCEEFF" w:val="clear"/>
            <w:vAlign w:val="center"/>
          </w:tcPr>
          <w:p>
            <w:pPr>
              <w:pStyle w:val="TableContents"/>
              <w:bidi w:val="0"/>
              <w:spacing w:before="0" w:after="283"/>
              <w:jc w:val="right"/>
              <w:rPr/>
            </w:pPr>
            <w:hyperlink w:anchor="sp_002">
              <w:r>
                <w:rPr>
                  <w:rStyle w:val="InternetLink"/>
                  <w:rFonts w:ascii="Times New Roman;Times;Serif" w:hAnsi="Times New Roman;Times;Serif"/>
                  <w:sz w:val="20"/>
                </w:rPr>
                <w:t>9</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sz w:val="20"/>
                </w:rPr>
                <w:t>Questions about the Special Meeting</w:t>
              </w:r>
            </w:hyperlink>
          </w:p>
        </w:tc>
        <w:tc>
          <w:tcPr>
            <w:tcW w:w="275" w:type="dxa"/>
            <w:tcBorders/>
            <w:shd w:fill="CCEEFF" w:val="clear"/>
            <w:vAlign w:val="center"/>
          </w:tcPr>
          <w:p>
            <w:pPr>
              <w:pStyle w:val="TableContents"/>
              <w:bidi w:val="0"/>
              <w:spacing w:before="0" w:after="283"/>
              <w:jc w:val="right"/>
              <w:rPr/>
            </w:pPr>
            <w:hyperlink w:anchor="sp_003">
              <w:r>
                <w:rPr>
                  <w:rStyle w:val="InternetLink"/>
                  <w:rFonts w:ascii="Times New Roman;Times;Serif" w:hAnsi="Times New Roman;Times;Serif"/>
                  <w:sz w:val="20"/>
                </w:rPr>
                <w:t>9</w:t>
              </w:r>
            </w:hyperlink>
          </w:p>
        </w:tc>
      </w:tr>
      <w:tr>
        <w:trPr/>
        <w:tc>
          <w:tcPr>
            <w:tcW w:w="7100"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sz w:val="20"/>
                </w:rPr>
                <w:t>Questions about the Sale</w:t>
              </w:r>
            </w:hyperlink>
          </w:p>
        </w:tc>
        <w:tc>
          <w:tcPr>
            <w:tcW w:w="275" w:type="dxa"/>
            <w:tcBorders/>
            <w:shd w:fill="FFFFFF" w:val="clear"/>
            <w:vAlign w:val="center"/>
          </w:tcPr>
          <w:p>
            <w:pPr>
              <w:pStyle w:val="TableContents"/>
              <w:bidi w:val="0"/>
              <w:spacing w:before="0" w:after="283"/>
              <w:jc w:val="right"/>
              <w:rPr/>
            </w:pPr>
            <w:hyperlink w:anchor="sp_004">
              <w:r>
                <w:rPr>
                  <w:rStyle w:val="InternetLink"/>
                </w:rPr>
                <w:t>15</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sz w:val="20"/>
                </w:rPr>
                <w:t>CAUTIONARY STATEMENT CONCERNING FORWARD-LOOKING INFORMATION</w:t>
              </w:r>
            </w:hyperlink>
          </w:p>
        </w:tc>
        <w:tc>
          <w:tcPr>
            <w:tcW w:w="275" w:type="dxa"/>
            <w:tcBorders/>
            <w:shd w:fill="FFFFFF" w:val="clear"/>
            <w:vAlign w:val="center"/>
          </w:tcPr>
          <w:p>
            <w:pPr>
              <w:pStyle w:val="TableContents"/>
              <w:bidi w:val="0"/>
              <w:spacing w:before="0" w:after="283"/>
              <w:jc w:val="right"/>
              <w:rPr/>
            </w:pPr>
            <w:hyperlink w:anchor="sp_005">
              <w:r>
                <w:rPr>
                  <w:rStyle w:val="InternetLink"/>
                </w:rPr>
                <w:t>18</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sz w:val="20"/>
                </w:rPr>
                <w:t>THE SPECIAL MEETING</w:t>
              </w:r>
            </w:hyperlink>
          </w:p>
        </w:tc>
        <w:tc>
          <w:tcPr>
            <w:tcW w:w="275" w:type="dxa"/>
            <w:tcBorders/>
            <w:shd w:fill="FFFFFF" w:val="clear"/>
            <w:vAlign w:val="center"/>
          </w:tcPr>
          <w:p>
            <w:pPr>
              <w:pStyle w:val="TableContents"/>
              <w:bidi w:val="0"/>
              <w:spacing w:before="0" w:after="283"/>
              <w:jc w:val="right"/>
              <w:rPr/>
            </w:pPr>
            <w:hyperlink w:anchor="sp_006">
              <w:r>
                <w:rPr>
                  <w:rStyle w:val="InternetLink"/>
                </w:rPr>
                <w:t>20</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sz w:val="20"/>
                </w:rPr>
                <w:t>Date, Time and Place</w:t>
              </w:r>
            </w:hyperlink>
          </w:p>
        </w:tc>
        <w:tc>
          <w:tcPr>
            <w:tcW w:w="275" w:type="dxa"/>
            <w:tcBorders/>
            <w:shd w:fill="FFFFFF" w:val="clear"/>
            <w:vAlign w:val="center"/>
          </w:tcPr>
          <w:p>
            <w:pPr>
              <w:pStyle w:val="TableContents"/>
              <w:bidi w:val="0"/>
              <w:spacing w:before="0" w:after="283"/>
              <w:jc w:val="right"/>
              <w:rPr/>
            </w:pPr>
            <w:hyperlink w:anchor="sp_007">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sp_008">
              <w:r>
                <w:rPr>
                  <w:rStyle w:val="InternetLink"/>
                  <w:rFonts w:ascii="Times New Roman;Times;Serif" w:hAnsi="Times New Roman;Times;Serif"/>
                  <w:sz w:val="20"/>
                </w:rPr>
                <w:t>Purpose of the Special Meeting</w:t>
              </w:r>
            </w:hyperlink>
          </w:p>
        </w:tc>
        <w:tc>
          <w:tcPr>
            <w:tcW w:w="275" w:type="dxa"/>
            <w:tcBorders/>
            <w:shd w:fill="CCEEFF" w:val="clear"/>
            <w:vAlign w:val="center"/>
          </w:tcPr>
          <w:p>
            <w:pPr>
              <w:pStyle w:val="TableContents"/>
              <w:bidi w:val="0"/>
              <w:spacing w:before="0" w:after="283"/>
              <w:jc w:val="right"/>
              <w:rPr/>
            </w:pPr>
            <w:hyperlink w:anchor="sp_008">
              <w:r>
                <w:rPr>
                  <w:rStyle w:val="InternetLink"/>
                  <w:rFonts w:ascii="Times New Roman;Times;Serif" w:hAnsi="Times New Roman;Times;Serif"/>
                  <w:sz w:val="20"/>
                </w:rPr>
                <w:t>20</w:t>
              </w:r>
            </w:hyperlink>
          </w:p>
        </w:tc>
      </w:tr>
      <w:tr>
        <w:trPr/>
        <w:tc>
          <w:tcPr>
            <w:tcW w:w="7100" w:type="dxa"/>
            <w:tcBorders/>
            <w:shd w:fill="FFFFFF" w:val="clear"/>
            <w:vAlign w:val="center"/>
          </w:tcPr>
          <w:p>
            <w:pPr>
              <w:pStyle w:val="TableContents"/>
              <w:bidi w:val="0"/>
              <w:spacing w:before="0" w:after="283"/>
              <w:jc w:val="left"/>
              <w:rPr/>
            </w:pPr>
            <w:hyperlink w:anchor="sp_009">
              <w:r>
                <w:rPr>
                  <w:rStyle w:val="InternetLink"/>
                  <w:rFonts w:ascii="Times New Roman;Times;Serif" w:hAnsi="Times New Roman;Times;Serif"/>
                  <w:sz w:val="20"/>
                </w:rPr>
                <w:t>Record Date; Stockholders Entitled to Vote</w:t>
              </w:r>
            </w:hyperlink>
          </w:p>
        </w:tc>
        <w:tc>
          <w:tcPr>
            <w:tcW w:w="275" w:type="dxa"/>
            <w:tcBorders/>
            <w:shd w:fill="FFFFFF" w:val="clear"/>
            <w:vAlign w:val="center"/>
          </w:tcPr>
          <w:p>
            <w:pPr>
              <w:pStyle w:val="TableContents"/>
              <w:bidi w:val="0"/>
              <w:spacing w:before="0" w:after="283"/>
              <w:jc w:val="right"/>
              <w:rPr/>
            </w:pPr>
            <w:hyperlink w:anchor="sp_009">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sz w:val="20"/>
                </w:rPr>
                <w:t>Quorum</w:t>
              </w:r>
            </w:hyperlink>
          </w:p>
        </w:tc>
        <w:tc>
          <w:tcPr>
            <w:tcW w:w="275" w:type="dxa"/>
            <w:tcBorders/>
            <w:shd w:fill="CCEEFF" w:val="clear"/>
            <w:vAlign w:val="center"/>
          </w:tcPr>
          <w:p>
            <w:pPr>
              <w:pStyle w:val="TableContents"/>
              <w:bidi w:val="0"/>
              <w:spacing w:before="0" w:after="283"/>
              <w:jc w:val="right"/>
              <w:rPr/>
            </w:pPr>
            <w:hyperlink w:anchor="sp_010">
              <w:r>
                <w:rPr>
                  <w:rStyle w:val="InternetLink"/>
                </w:rPr>
                <w:t>20</w:t>
              </w:r>
            </w:hyperlink>
          </w:p>
        </w:tc>
      </w:tr>
      <w:tr>
        <w:trPr/>
        <w:tc>
          <w:tcPr>
            <w:tcW w:w="7100" w:type="dxa"/>
            <w:tcBorders/>
            <w:shd w:fill="FFFFFF" w:val="clear"/>
            <w:vAlign w:val="center"/>
          </w:tcPr>
          <w:p>
            <w:pPr>
              <w:pStyle w:val="TableContents"/>
              <w:bidi w:val="0"/>
              <w:spacing w:before="0" w:after="283"/>
              <w:jc w:val="left"/>
              <w:rPr/>
            </w:pPr>
            <w:hyperlink w:anchor="sp_011">
              <w:r>
                <w:rPr>
                  <w:rStyle w:val="InternetLink"/>
                  <w:rFonts w:ascii="Times New Roman;Times;Serif" w:hAnsi="Times New Roman;Times;Serif"/>
                  <w:sz w:val="20"/>
                </w:rPr>
                <w:t>Vote Required for Approval of Proposals</w:t>
              </w:r>
            </w:hyperlink>
          </w:p>
        </w:tc>
        <w:tc>
          <w:tcPr>
            <w:tcW w:w="275" w:type="dxa"/>
            <w:tcBorders/>
            <w:shd w:fill="FFFFFF" w:val="clear"/>
            <w:vAlign w:val="center"/>
          </w:tcPr>
          <w:p>
            <w:pPr>
              <w:pStyle w:val="TableContents"/>
              <w:bidi w:val="0"/>
              <w:spacing w:before="0" w:after="283"/>
              <w:jc w:val="right"/>
              <w:rPr/>
            </w:pPr>
            <w:hyperlink w:anchor="sp_011">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anan_001">
              <w:r>
                <w:rPr>
                  <w:rStyle w:val="InternetLink"/>
                </w:rPr>
                <w:t>Support Agreements</w:t>
              </w:r>
            </w:hyperlink>
          </w:p>
        </w:tc>
        <w:tc>
          <w:tcPr>
            <w:tcW w:w="275" w:type="dxa"/>
            <w:tcBorders/>
            <w:shd w:fill="CCEEFF" w:val="clear"/>
            <w:vAlign w:val="center"/>
          </w:tcPr>
          <w:p>
            <w:pPr>
              <w:pStyle w:val="TableContents"/>
              <w:bidi w:val="0"/>
              <w:spacing w:before="0" w:after="283"/>
              <w:jc w:val="right"/>
              <w:rPr/>
            </w:pPr>
            <w:hyperlink w:anchor="anan_001">
              <w:r>
                <w:rPr>
                  <w:rStyle w:val="InternetLink"/>
                </w:rPr>
                <w:t>21</w:t>
              </w:r>
            </w:hyperlink>
          </w:p>
        </w:tc>
      </w:tr>
      <w:tr>
        <w:trPr/>
        <w:tc>
          <w:tcPr>
            <w:tcW w:w="7100" w:type="dxa"/>
            <w:tcBorders/>
            <w:shd w:fill="FFFFFF" w:val="clear"/>
            <w:vAlign w:val="center"/>
          </w:tcPr>
          <w:p>
            <w:pPr>
              <w:pStyle w:val="TableContents"/>
              <w:bidi w:val="0"/>
              <w:spacing w:before="0" w:after="283"/>
              <w:jc w:val="left"/>
              <w:rPr/>
            </w:pPr>
            <w:hyperlink w:anchor="sp_012">
              <w:r>
                <w:rPr>
                  <w:rStyle w:val="InternetLink"/>
                  <w:rFonts w:ascii="Times New Roman;Times;Serif" w:hAnsi="Times New Roman;Times;Serif"/>
                  <w:sz w:val="20"/>
                </w:rPr>
                <w:t>Voting and Proxies</w:t>
              </w:r>
            </w:hyperlink>
          </w:p>
        </w:tc>
        <w:tc>
          <w:tcPr>
            <w:tcW w:w="275" w:type="dxa"/>
            <w:tcBorders/>
            <w:shd w:fill="FFFFFF" w:val="clear"/>
            <w:vAlign w:val="center"/>
          </w:tcPr>
          <w:p>
            <w:pPr>
              <w:pStyle w:val="TableContents"/>
              <w:bidi w:val="0"/>
              <w:spacing w:before="0" w:after="283"/>
              <w:jc w:val="right"/>
              <w:rPr/>
            </w:pPr>
            <w:hyperlink w:anchor="sp_012">
              <w:r>
                <w:rPr>
                  <w:rStyle w:val="InternetLink"/>
                </w:rPr>
                <w:t>21</w:t>
              </w:r>
            </w:hyperlink>
          </w:p>
        </w:tc>
      </w:tr>
      <w:tr>
        <w:trPr/>
        <w:tc>
          <w:tcPr>
            <w:tcW w:w="7100" w:type="dxa"/>
            <w:tcBorders/>
            <w:shd w:fill="CCEEFF" w:val="clear"/>
            <w:vAlign w:val="center"/>
          </w:tcPr>
          <w:p>
            <w:pPr>
              <w:pStyle w:val="TableContents"/>
              <w:bidi w:val="0"/>
              <w:spacing w:before="0" w:after="283"/>
              <w:jc w:val="left"/>
              <w:rPr/>
            </w:pPr>
            <w:hyperlink w:anchor="sp_013">
              <w:r>
                <w:rPr>
                  <w:rStyle w:val="InternetLink"/>
                  <w:rFonts w:ascii="Times New Roman;Times;Serif" w:hAnsi="Times New Roman;Times;Serif"/>
                  <w:sz w:val="20"/>
                </w:rPr>
                <w:t>Revocation of Proxies</w:t>
              </w:r>
            </w:hyperlink>
          </w:p>
        </w:tc>
        <w:tc>
          <w:tcPr>
            <w:tcW w:w="275" w:type="dxa"/>
            <w:tcBorders/>
            <w:shd w:fill="CCEEFF" w:val="clear"/>
            <w:vAlign w:val="center"/>
          </w:tcPr>
          <w:p>
            <w:pPr>
              <w:pStyle w:val="TableContents"/>
              <w:bidi w:val="0"/>
              <w:spacing w:before="0" w:after="283"/>
              <w:jc w:val="right"/>
              <w:rPr/>
            </w:pPr>
            <w:hyperlink w:anchor="sp_013">
              <w:r>
                <w:rPr>
                  <w:rStyle w:val="InternetLink"/>
                </w:rPr>
                <w:t>22</w:t>
              </w:r>
            </w:hyperlink>
          </w:p>
        </w:tc>
      </w:tr>
      <w:tr>
        <w:trPr/>
        <w:tc>
          <w:tcPr>
            <w:tcW w:w="7100" w:type="dxa"/>
            <w:tcBorders/>
            <w:shd w:fill="FFFFFF" w:val="clear"/>
            <w:vAlign w:val="center"/>
          </w:tcPr>
          <w:p>
            <w:pPr>
              <w:pStyle w:val="TableContents"/>
              <w:bidi w:val="0"/>
              <w:spacing w:before="0" w:after="283"/>
              <w:jc w:val="left"/>
              <w:rPr/>
            </w:pPr>
            <w:hyperlink w:anchor="sp_014">
              <w:r>
                <w:rPr>
                  <w:rStyle w:val="InternetLink"/>
                  <w:rFonts w:ascii="Times New Roman;Times;Serif" w:hAnsi="Times New Roman;Times;Serif"/>
                  <w:sz w:val="20"/>
                </w:rPr>
                <w:t>Attending the Special Meeting</w:t>
              </w:r>
            </w:hyperlink>
          </w:p>
        </w:tc>
        <w:tc>
          <w:tcPr>
            <w:tcW w:w="275" w:type="dxa"/>
            <w:tcBorders/>
            <w:shd w:fill="FFFFFF" w:val="clear"/>
            <w:vAlign w:val="center"/>
          </w:tcPr>
          <w:p>
            <w:pPr>
              <w:pStyle w:val="TableContents"/>
              <w:bidi w:val="0"/>
              <w:spacing w:before="0" w:after="283"/>
              <w:jc w:val="right"/>
              <w:rPr/>
            </w:pPr>
            <w:hyperlink w:anchor="sp_014">
              <w:r>
                <w:rPr>
                  <w:rStyle w:val="InternetLink"/>
                </w:rPr>
                <w:t>22</w:t>
              </w:r>
            </w:hyperlink>
          </w:p>
        </w:tc>
      </w:tr>
      <w:tr>
        <w:trPr/>
        <w:tc>
          <w:tcPr>
            <w:tcW w:w="7100" w:type="dxa"/>
            <w:tcBorders/>
            <w:shd w:fill="CCEEFF" w:val="clear"/>
            <w:vAlign w:val="center"/>
          </w:tcPr>
          <w:p>
            <w:pPr>
              <w:pStyle w:val="TableContents"/>
              <w:bidi w:val="0"/>
              <w:spacing w:before="0" w:after="283"/>
              <w:jc w:val="left"/>
              <w:rPr/>
            </w:pPr>
            <w:hyperlink w:anchor="sp_015">
              <w:r>
                <w:rPr>
                  <w:rStyle w:val="InternetLink"/>
                  <w:rFonts w:ascii="Times New Roman;Times;Serif" w:hAnsi="Times New Roman;Times;Serif"/>
                  <w:sz w:val="20"/>
                </w:rPr>
                <w:t>Solicitation of Proxies</w:t>
              </w:r>
            </w:hyperlink>
          </w:p>
        </w:tc>
        <w:tc>
          <w:tcPr>
            <w:tcW w:w="275" w:type="dxa"/>
            <w:tcBorders/>
            <w:shd w:fill="CCEEFF" w:val="clear"/>
            <w:vAlign w:val="center"/>
          </w:tcPr>
          <w:p>
            <w:pPr>
              <w:pStyle w:val="TableContents"/>
              <w:bidi w:val="0"/>
              <w:spacing w:before="0" w:after="283"/>
              <w:jc w:val="right"/>
              <w:rPr/>
            </w:pPr>
            <w:hyperlink w:anchor="sp_015">
              <w:r>
                <w:rPr>
                  <w:rStyle w:val="InternetLink"/>
                </w:rPr>
                <w:t>23</w:t>
              </w:r>
            </w:hyperlink>
          </w:p>
        </w:tc>
      </w:tr>
      <w:tr>
        <w:trPr/>
        <w:tc>
          <w:tcPr>
            <w:tcW w:w="7100" w:type="dxa"/>
            <w:tcBorders/>
            <w:shd w:fill="FFFFFF" w:val="clear"/>
            <w:vAlign w:val="center"/>
          </w:tcPr>
          <w:p>
            <w:pPr>
              <w:pStyle w:val="TableContents"/>
              <w:bidi w:val="0"/>
              <w:spacing w:before="0" w:after="283"/>
              <w:jc w:val="left"/>
              <w:rPr/>
            </w:pPr>
            <w:hyperlink w:anchor="sp_016">
              <w:r>
                <w:rPr>
                  <w:rStyle w:val="InternetLink"/>
                  <w:rFonts w:ascii="Times New Roman;Times;Serif" w:hAnsi="Times New Roman;Times;Serif"/>
                  <w:sz w:val="20"/>
                </w:rPr>
                <w:t>Other Matters</w:t>
              </w:r>
            </w:hyperlink>
          </w:p>
        </w:tc>
        <w:tc>
          <w:tcPr>
            <w:tcW w:w="275" w:type="dxa"/>
            <w:tcBorders/>
            <w:shd w:fill="FFFFFF" w:val="clear"/>
            <w:vAlign w:val="center"/>
          </w:tcPr>
          <w:p>
            <w:pPr>
              <w:pStyle w:val="TableContents"/>
              <w:bidi w:val="0"/>
              <w:spacing w:before="0" w:after="283"/>
              <w:jc w:val="right"/>
              <w:rPr/>
            </w:pPr>
            <w:hyperlink w:anchor="sp_016">
              <w:r>
                <w:rPr>
                  <w:rStyle w:val="InternetLink"/>
                </w:rPr>
                <w:t>23</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DESCRIPTION OF THE PURCHASE AGREEMENT</w:t>
              </w:r>
            </w:hyperlink>
          </w:p>
        </w:tc>
        <w:tc>
          <w:tcPr>
            <w:tcW w:w="275" w:type="dxa"/>
            <w:tcBorders/>
            <w:shd w:fill="FFFFFF" w:val="clear"/>
            <w:vAlign w:val="center"/>
          </w:tcPr>
          <w:p>
            <w:pPr>
              <w:pStyle w:val="TableContents"/>
              <w:bidi w:val="0"/>
              <w:spacing w:before="0" w:after="283"/>
              <w:jc w:val="right"/>
              <w:rPr/>
            </w:pPr>
            <w:hyperlink w:anchor="sa_001">
              <w:r>
                <w:rPr>
                  <w:rStyle w:val="InternetLink"/>
                </w:rPr>
                <w:t>24</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Purchase Price</w:t>
              </w:r>
            </w:hyperlink>
          </w:p>
        </w:tc>
        <w:tc>
          <w:tcPr>
            <w:tcW w:w="275" w:type="dxa"/>
            <w:tcBorders/>
            <w:shd w:fill="FFFFFF" w:val="clear"/>
            <w:vAlign w:val="center"/>
          </w:tcPr>
          <w:p>
            <w:pPr>
              <w:pStyle w:val="TableContents"/>
              <w:bidi w:val="0"/>
              <w:spacing w:before="0" w:after="283"/>
              <w:jc w:val="right"/>
              <w:rPr/>
            </w:pPr>
            <w:hyperlink w:anchor="sa_002">
              <w:r>
                <w:rPr>
                  <w:rStyle w:val="InternetLink"/>
                </w:rPr>
                <w:t>24</w:t>
              </w:r>
            </w:hyperlink>
          </w:p>
        </w:tc>
      </w:tr>
      <w:tr>
        <w:trPr/>
        <w:tc>
          <w:tcPr>
            <w:tcW w:w="710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Closing</w:t>
              </w:r>
            </w:hyperlink>
          </w:p>
        </w:tc>
        <w:tc>
          <w:tcPr>
            <w:tcW w:w="275" w:type="dxa"/>
            <w:tcBorders/>
            <w:shd w:fill="CCEEFF" w:val="clear"/>
            <w:vAlign w:val="center"/>
          </w:tcPr>
          <w:p>
            <w:pPr>
              <w:pStyle w:val="TableContents"/>
              <w:bidi w:val="0"/>
              <w:spacing w:before="0" w:after="283"/>
              <w:jc w:val="right"/>
              <w:rPr/>
            </w:pPr>
            <w:hyperlink w:anchor="sa_003">
              <w:r>
                <w:rPr>
                  <w:rStyle w:val="InternetLink"/>
                </w:rPr>
                <w:t>24</w:t>
              </w:r>
            </w:hyperlink>
          </w:p>
        </w:tc>
      </w:tr>
      <w:tr>
        <w:trPr/>
        <w:tc>
          <w:tcPr>
            <w:tcW w:w="710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Representations and Warranties</w:t>
              </w:r>
            </w:hyperlink>
          </w:p>
        </w:tc>
        <w:tc>
          <w:tcPr>
            <w:tcW w:w="275" w:type="dxa"/>
            <w:tcBorders/>
            <w:shd w:fill="FFFFFF" w:val="clear"/>
            <w:vAlign w:val="center"/>
          </w:tcPr>
          <w:p>
            <w:pPr>
              <w:pStyle w:val="TableContents"/>
              <w:bidi w:val="0"/>
              <w:spacing w:before="0" w:after="283"/>
              <w:jc w:val="right"/>
              <w:rPr/>
            </w:pPr>
            <w:hyperlink w:anchor="sa_004">
              <w:r>
                <w:rPr>
                  <w:rStyle w:val="InternetLink"/>
                </w:rPr>
                <w:t>24</w:t>
              </w:r>
            </w:hyperlink>
          </w:p>
        </w:tc>
      </w:tr>
      <w:tr>
        <w:trPr/>
        <w:tc>
          <w:tcPr>
            <w:tcW w:w="710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Conduct of the Divestiture Group Prior to Closing</w:t>
              </w:r>
            </w:hyperlink>
          </w:p>
        </w:tc>
        <w:tc>
          <w:tcPr>
            <w:tcW w:w="275" w:type="dxa"/>
            <w:tcBorders/>
            <w:shd w:fill="CCEEFF" w:val="clear"/>
            <w:vAlign w:val="center"/>
          </w:tcPr>
          <w:p>
            <w:pPr>
              <w:pStyle w:val="TableContents"/>
              <w:bidi w:val="0"/>
              <w:spacing w:before="0" w:after="283"/>
              <w:jc w:val="right"/>
              <w:rPr/>
            </w:pPr>
            <w:hyperlink w:anchor="sa_005">
              <w:r>
                <w:rPr>
                  <w:rStyle w:val="InternetLink"/>
                </w:rPr>
                <w:t>26</w:t>
              </w:r>
            </w:hyperlink>
          </w:p>
        </w:tc>
      </w:tr>
      <w:tr>
        <w:trPr/>
        <w:tc>
          <w:tcPr>
            <w:tcW w:w="710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Restrictions on Solicitation or Negotiation of Other Offers</w:t>
              </w:r>
            </w:hyperlink>
          </w:p>
        </w:tc>
        <w:tc>
          <w:tcPr>
            <w:tcW w:w="275" w:type="dxa"/>
            <w:tcBorders/>
            <w:shd w:fill="FFFFFF" w:val="clear"/>
            <w:vAlign w:val="center"/>
          </w:tcPr>
          <w:p>
            <w:pPr>
              <w:pStyle w:val="TableContents"/>
              <w:bidi w:val="0"/>
              <w:spacing w:before="0" w:after="283"/>
              <w:jc w:val="right"/>
              <w:rPr/>
            </w:pPr>
            <w:hyperlink w:anchor="sa_006">
              <w:r>
                <w:rPr>
                  <w:rStyle w:val="InternetLink"/>
                </w:rPr>
                <w:t>26</w:t>
              </w:r>
            </w:hyperlink>
          </w:p>
        </w:tc>
      </w:tr>
      <w:tr>
        <w:trPr/>
        <w:tc>
          <w:tcPr>
            <w:tcW w:w="710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Additional Obligations</w:t>
              </w:r>
            </w:hyperlink>
          </w:p>
        </w:tc>
        <w:tc>
          <w:tcPr>
            <w:tcW w:w="275" w:type="dxa"/>
            <w:tcBorders/>
            <w:shd w:fill="CCEEFF" w:val="clear"/>
            <w:vAlign w:val="center"/>
          </w:tcPr>
          <w:p>
            <w:pPr>
              <w:pStyle w:val="TableContents"/>
              <w:bidi w:val="0"/>
              <w:spacing w:before="0" w:after="283"/>
              <w:jc w:val="right"/>
              <w:rPr/>
            </w:pPr>
            <w:hyperlink w:anchor="sa_007">
              <w:r>
                <w:rPr>
                  <w:rStyle w:val="InternetLink"/>
                </w:rPr>
                <w:t>27</w:t>
              </w:r>
            </w:hyperlink>
          </w:p>
        </w:tc>
      </w:tr>
      <w:tr>
        <w:trPr/>
        <w:tc>
          <w:tcPr>
            <w:tcW w:w="7100" w:type="dxa"/>
            <w:tcBorders/>
            <w:shd w:fill="FFFFFF" w:val="clear"/>
            <w:vAlign w:val="center"/>
          </w:tcPr>
          <w:p>
            <w:pPr>
              <w:pStyle w:val="TableContents"/>
              <w:bidi w:val="0"/>
              <w:spacing w:before="0" w:after="283"/>
              <w:jc w:val="left"/>
              <w:rPr/>
            </w:pPr>
            <w:hyperlink w:anchor="anan_002">
              <w:r>
                <w:rPr>
                  <w:rStyle w:val="InternetLink"/>
                </w:rPr>
                <w:t>Financing of the Sale</w:t>
              </w:r>
            </w:hyperlink>
          </w:p>
        </w:tc>
        <w:tc>
          <w:tcPr>
            <w:tcW w:w="275" w:type="dxa"/>
            <w:tcBorders/>
            <w:shd w:fill="FFFFFF" w:val="clear"/>
            <w:vAlign w:val="center"/>
          </w:tcPr>
          <w:p>
            <w:pPr>
              <w:pStyle w:val="TableContents"/>
              <w:bidi w:val="0"/>
              <w:spacing w:before="0" w:after="283"/>
              <w:jc w:val="right"/>
              <w:rPr/>
            </w:pPr>
            <w:hyperlink w:anchor="anan_002">
              <w:r>
                <w:rPr>
                  <w:rStyle w:val="InternetLink"/>
                </w:rPr>
                <w:t>27</w:t>
              </w:r>
            </w:hyperlink>
          </w:p>
        </w:tc>
      </w:tr>
      <w:tr>
        <w:trPr/>
        <w:tc>
          <w:tcPr>
            <w:tcW w:w="7100"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Conditions to Closing</w:t>
              </w:r>
            </w:hyperlink>
          </w:p>
        </w:tc>
        <w:tc>
          <w:tcPr>
            <w:tcW w:w="275" w:type="dxa"/>
            <w:tcBorders/>
            <w:shd w:fill="CCEEFF" w:val="clear"/>
            <w:vAlign w:val="center"/>
          </w:tcPr>
          <w:p>
            <w:pPr>
              <w:pStyle w:val="TableContents"/>
              <w:bidi w:val="0"/>
              <w:spacing w:before="0" w:after="283"/>
              <w:jc w:val="right"/>
              <w:rPr/>
            </w:pPr>
            <w:hyperlink w:anchor="sa_008">
              <w:r>
                <w:rPr>
                  <w:rStyle w:val="InternetLink"/>
                </w:rPr>
                <w:t>27</w:t>
              </w:r>
            </w:hyperlink>
          </w:p>
        </w:tc>
      </w:tr>
      <w:tr>
        <w:trPr/>
        <w:tc>
          <w:tcPr>
            <w:tcW w:w="7100" w:type="dxa"/>
            <w:tcBorders/>
            <w:shd w:fill="FFFF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Termination</w:t>
              </w:r>
            </w:hyperlink>
          </w:p>
        </w:tc>
        <w:tc>
          <w:tcPr>
            <w:tcW w:w="275" w:type="dxa"/>
            <w:tcBorders/>
            <w:shd w:fill="FFFFFF" w:val="clear"/>
            <w:vAlign w:val="center"/>
          </w:tcPr>
          <w:p>
            <w:pPr>
              <w:pStyle w:val="TableContents"/>
              <w:bidi w:val="0"/>
              <w:spacing w:before="0" w:after="283"/>
              <w:jc w:val="right"/>
              <w:rPr/>
            </w:pPr>
            <w:hyperlink w:anchor="sa_009">
              <w:r>
                <w:rPr>
                  <w:rStyle w:val="InternetLink"/>
                </w:rPr>
                <w:t>28</w:t>
              </w:r>
            </w:hyperlink>
          </w:p>
        </w:tc>
      </w:tr>
      <w:tr>
        <w:trPr/>
        <w:tc>
          <w:tcPr>
            <w:tcW w:w="7100" w:type="dxa"/>
            <w:tcBorders/>
            <w:shd w:fill="CCEE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Termination Fees and Expenses</w:t>
              </w:r>
            </w:hyperlink>
          </w:p>
        </w:tc>
        <w:tc>
          <w:tcPr>
            <w:tcW w:w="275" w:type="dxa"/>
            <w:tcBorders/>
            <w:shd w:fill="CCEEFF" w:val="clear"/>
            <w:vAlign w:val="center"/>
          </w:tcPr>
          <w:p>
            <w:pPr>
              <w:pStyle w:val="TableContents"/>
              <w:bidi w:val="0"/>
              <w:spacing w:before="0" w:after="283"/>
              <w:jc w:val="right"/>
              <w:rPr/>
            </w:pPr>
            <w:hyperlink w:anchor="sa_010">
              <w:r>
                <w:rPr>
                  <w:rStyle w:val="InternetLink"/>
                </w:rPr>
                <w:t>29</w:t>
              </w:r>
            </w:hyperlink>
          </w:p>
        </w:tc>
      </w:tr>
      <w:tr>
        <w:trPr/>
        <w:tc>
          <w:tcPr>
            <w:tcW w:w="7100" w:type="dxa"/>
            <w:tcBorders/>
            <w:shd w:fill="FFFFFF" w:val="clear"/>
            <w:vAlign w:val="center"/>
          </w:tcPr>
          <w:p>
            <w:pPr>
              <w:pStyle w:val="TableContents"/>
              <w:bidi w:val="0"/>
              <w:spacing w:before="0" w:after="283"/>
              <w:jc w:val="left"/>
              <w:rPr/>
            </w:pPr>
            <w:hyperlink w:anchor="anan_003">
              <w:r>
                <w:rPr>
                  <w:rStyle w:val="InternetLink"/>
                </w:rPr>
                <w:t>Limited Guaranty</w:t>
              </w:r>
            </w:hyperlink>
          </w:p>
        </w:tc>
        <w:tc>
          <w:tcPr>
            <w:tcW w:w="275" w:type="dxa"/>
            <w:tcBorders/>
            <w:shd w:fill="FFFFFF" w:val="clear"/>
            <w:vAlign w:val="center"/>
          </w:tcPr>
          <w:p>
            <w:pPr>
              <w:pStyle w:val="TableContents"/>
              <w:bidi w:val="0"/>
              <w:spacing w:before="0" w:after="283"/>
              <w:jc w:val="right"/>
              <w:rPr/>
            </w:pPr>
            <w:hyperlink w:anchor="anan_003">
              <w:r>
                <w:rPr>
                  <w:rStyle w:val="InternetLink"/>
                </w:rPr>
                <w:t>29</w:t>
              </w:r>
            </w:hyperlink>
          </w:p>
        </w:tc>
      </w:tr>
      <w:tr>
        <w:trPr/>
        <w:tc>
          <w:tcPr>
            <w:tcW w:w="7100" w:type="dxa"/>
            <w:tcBorders/>
            <w:shd w:fill="CCEEFF" w:val="clear"/>
            <w:vAlign w:val="center"/>
          </w:tcPr>
          <w:p>
            <w:pPr>
              <w:pStyle w:val="TableContents"/>
              <w:bidi w:val="0"/>
              <w:spacing w:before="0" w:after="283"/>
              <w:jc w:val="left"/>
              <w:rPr/>
            </w:pPr>
            <w:hyperlink w:anchor="anan_004">
              <w:r>
                <w:rPr>
                  <w:rStyle w:val="InternetLink"/>
                </w:rPr>
                <w:t>Indemnification</w:t>
              </w:r>
            </w:hyperlink>
          </w:p>
        </w:tc>
        <w:tc>
          <w:tcPr>
            <w:tcW w:w="275" w:type="dxa"/>
            <w:tcBorders/>
            <w:shd w:fill="CCEEFF" w:val="clear"/>
            <w:vAlign w:val="center"/>
          </w:tcPr>
          <w:p>
            <w:pPr>
              <w:pStyle w:val="TableContents"/>
              <w:bidi w:val="0"/>
              <w:spacing w:before="0" w:after="283"/>
              <w:jc w:val="right"/>
              <w:rPr/>
            </w:pPr>
            <w:hyperlink w:anchor="anan_004">
              <w:r>
                <w:rPr>
                  <w:rStyle w:val="InternetLink"/>
                </w:rPr>
                <w:t>29</w:t>
              </w:r>
            </w:hyperlink>
          </w:p>
        </w:tc>
      </w:tr>
      <w:tr>
        <w:trPr/>
        <w:tc>
          <w:tcPr>
            <w:tcW w:w="7100" w:type="dxa"/>
            <w:tcBorders/>
            <w:shd w:fill="FFFFFF" w:val="clear"/>
            <w:vAlign w:val="center"/>
          </w:tcPr>
          <w:p>
            <w:pPr>
              <w:pStyle w:val="TableContents"/>
              <w:bidi w:val="0"/>
              <w:spacing w:before="0" w:after="283"/>
              <w:jc w:val="left"/>
              <w:rPr/>
            </w:pPr>
            <w:hyperlink w:anchor="anan_005">
              <w:r>
                <w:rPr>
                  <w:rStyle w:val="InternetLink"/>
                </w:rPr>
                <w:t>Certain Other Agreements</w:t>
              </w:r>
            </w:hyperlink>
          </w:p>
        </w:tc>
        <w:tc>
          <w:tcPr>
            <w:tcW w:w="275" w:type="dxa"/>
            <w:tcBorders/>
            <w:shd w:fill="FFFFFF" w:val="clear"/>
            <w:vAlign w:val="center"/>
          </w:tcPr>
          <w:p>
            <w:pPr>
              <w:pStyle w:val="TableContents"/>
              <w:bidi w:val="0"/>
              <w:spacing w:before="0" w:after="283"/>
              <w:jc w:val="right"/>
              <w:rPr/>
            </w:pPr>
            <w:hyperlink w:anchor="anan_005">
              <w:r>
                <w:rPr>
                  <w:rStyle w:val="InternetLink"/>
                </w:rPr>
                <w:t>31</w:t>
              </w:r>
            </w:hyperlink>
          </w:p>
        </w:tc>
      </w:tr>
      <w:tr>
        <w:trPr/>
        <w:tc>
          <w:tcPr>
            <w:tcW w:w="7100" w:type="dxa"/>
            <w:tcBorders/>
            <w:shd w:fill="CCEEFF" w:val="clear"/>
            <w:vAlign w:val="center"/>
          </w:tcPr>
          <w:p>
            <w:pPr>
              <w:pStyle w:val="TableContents"/>
              <w:bidi w:val="0"/>
              <w:spacing w:before="0" w:after="283"/>
              <w:jc w:val="left"/>
              <w:rPr/>
            </w:pPr>
            <w:hyperlink w:anchor="anan_006">
              <w:r>
                <w:rPr>
                  <w:rStyle w:val="InternetLink"/>
                </w:rPr>
                <w:t>Specific Performance</w:t>
              </w:r>
            </w:hyperlink>
          </w:p>
        </w:tc>
        <w:tc>
          <w:tcPr>
            <w:tcW w:w="275" w:type="dxa"/>
            <w:tcBorders/>
            <w:shd w:fill="CCEEFF" w:val="clear"/>
            <w:vAlign w:val="center"/>
          </w:tcPr>
          <w:p>
            <w:pPr>
              <w:pStyle w:val="TableContents"/>
              <w:bidi w:val="0"/>
              <w:spacing w:before="0" w:after="283"/>
              <w:jc w:val="right"/>
              <w:rPr/>
            </w:pPr>
            <w:hyperlink w:anchor="anan_006">
              <w:r>
                <w:rPr>
                  <w:rStyle w:val="InternetLink"/>
                </w:rPr>
                <w:t>31</w:t>
              </w:r>
            </w:hyperlink>
          </w:p>
        </w:tc>
      </w:tr>
      <w:tr>
        <w:trPr/>
        <w:tc>
          <w:tcPr>
            <w:tcW w:w="7100" w:type="dxa"/>
            <w:tcBorders/>
            <w:shd w:fill="FFFF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Amendment</w:t>
              </w:r>
            </w:hyperlink>
          </w:p>
        </w:tc>
        <w:tc>
          <w:tcPr>
            <w:tcW w:w="275" w:type="dxa"/>
            <w:tcBorders/>
            <w:shd w:fill="FFFFFF" w:val="clear"/>
            <w:vAlign w:val="center"/>
          </w:tcPr>
          <w:p>
            <w:pPr>
              <w:pStyle w:val="TableContents"/>
              <w:bidi w:val="0"/>
              <w:spacing w:before="0" w:after="283"/>
              <w:jc w:val="right"/>
              <w:rPr/>
            </w:pPr>
            <w:hyperlink w:anchor="sa_011">
              <w:r>
                <w:rPr>
                  <w:rStyle w:val="InternetLink"/>
                </w:rPr>
                <w:t>31</w:t>
              </w:r>
            </w:hyperlink>
          </w:p>
        </w:tc>
      </w:tr>
      <w:tr>
        <w:trPr/>
        <w:tc>
          <w:tcPr>
            <w:tcW w:w="7100" w:type="dxa"/>
            <w:tcBorders/>
            <w:shd w:fill="CCEEFF" w:val="clear"/>
            <w:vAlign w:val="center"/>
          </w:tcPr>
          <w:p>
            <w:pPr>
              <w:pStyle w:val="TableContents"/>
              <w:bidi w:val="0"/>
              <w:spacing w:before="0" w:after="283"/>
              <w:jc w:val="left"/>
              <w:rPr/>
            </w:pPr>
            <w:hyperlink w:anchor="anan_007">
              <w:r>
                <w:rPr>
                  <w:rStyle w:val="InternetLink"/>
                </w:rPr>
                <w:t>Governing Law</w:t>
              </w:r>
            </w:hyperlink>
          </w:p>
        </w:tc>
        <w:tc>
          <w:tcPr>
            <w:tcW w:w="275" w:type="dxa"/>
            <w:tcBorders/>
            <w:shd w:fill="CCEEFF" w:val="clear"/>
            <w:vAlign w:val="center"/>
          </w:tcPr>
          <w:p>
            <w:pPr>
              <w:pStyle w:val="TableContents"/>
              <w:bidi w:val="0"/>
              <w:spacing w:before="0" w:after="283"/>
              <w:jc w:val="right"/>
              <w:rPr/>
            </w:pPr>
            <w:hyperlink w:anchor="anan_007">
              <w:r>
                <w:rPr>
                  <w:rStyle w:val="InternetLink"/>
                </w:rPr>
                <w:t>31</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bidi w:val="0"/>
              <w:spacing w:before="0" w:after="283"/>
              <w:jc w:val="right"/>
              <w:rPr/>
            </w:pPr>
            <w:hyperlink w:anchor="sa_012">
              <w:r>
                <w:rPr>
                  <w:rStyle w:val="InternetLink"/>
                </w:rPr>
                <w:t>32</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Risk Factors Relating to Sale Proposal</w:t>
              </w:r>
            </w:hyperlink>
          </w:p>
        </w:tc>
        <w:tc>
          <w:tcPr>
            <w:tcW w:w="275" w:type="dxa"/>
            <w:tcBorders/>
            <w:shd w:fill="CCEEFF" w:val="clear"/>
            <w:vAlign w:val="center"/>
          </w:tcPr>
          <w:p>
            <w:pPr>
              <w:pStyle w:val="TableContents"/>
              <w:bidi w:val="0"/>
              <w:spacing w:before="0" w:after="283"/>
              <w:jc w:val="right"/>
              <w:rPr/>
            </w:pPr>
            <w:hyperlink w:anchor="sa_013">
              <w:r>
                <w:rPr>
                  <w:rStyle w:val="InternetLink"/>
                </w:rPr>
                <w:t>32</w:t>
              </w:r>
            </w:hyperlink>
          </w:p>
        </w:tc>
      </w:tr>
      <w:tr>
        <w:trPr/>
        <w:tc>
          <w:tcPr>
            <w:tcW w:w="7100" w:type="dxa"/>
            <w:tcBorders/>
            <w:shd w:fill="FFFFFF" w:val="clear"/>
            <w:vAlign w:val="center"/>
          </w:tcPr>
          <w:p>
            <w:pPr>
              <w:pStyle w:val="TableContents"/>
              <w:bidi w:val="0"/>
              <w:spacing w:before="0" w:after="283"/>
              <w:jc w:val="left"/>
              <w:rPr/>
            </w:pPr>
            <w:hyperlink w:anchor="sa_014">
              <w:r>
                <w:rPr>
                  <w:rStyle w:val="InternetLink"/>
                  <w:rFonts w:ascii="Times New Roman;Times;Serif" w:hAnsi="Times New Roman;Times;Serif"/>
                  <w:sz w:val="20"/>
                </w:rPr>
                <w:t>Risk Factors Relating to Our Business Following the Sale</w:t>
              </w:r>
            </w:hyperlink>
          </w:p>
        </w:tc>
        <w:tc>
          <w:tcPr>
            <w:tcW w:w="275" w:type="dxa"/>
            <w:tcBorders/>
            <w:shd w:fill="FFFFFF" w:val="clear"/>
            <w:vAlign w:val="center"/>
          </w:tcPr>
          <w:p>
            <w:pPr>
              <w:pStyle w:val="TableContents"/>
              <w:bidi w:val="0"/>
              <w:spacing w:before="0" w:after="283"/>
              <w:jc w:val="right"/>
              <w:rPr/>
            </w:pPr>
            <w:hyperlink w:anchor="sa_014">
              <w:r>
                <w:rPr>
                  <w:rStyle w:val="InternetLink"/>
                </w:rPr>
                <w:t>35</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520" w:type="dxa"/>
        <w:jc w:val="left"/>
        <w:tblInd w:w="0" w:type="dxa"/>
        <w:tblLayout w:type="fixed"/>
        <w:tblCellMar>
          <w:top w:w="0" w:type="dxa"/>
          <w:left w:w="0" w:type="dxa"/>
          <w:bottom w:w="0" w:type="dxa"/>
          <w:right w:w="0" w:type="dxa"/>
        </w:tblCellMar>
      </w:tblPr>
      <w:tblGrid>
        <w:gridCol w:w="9185"/>
        <w:gridCol w:w="335"/>
      </w:tblGrid>
      <w:tr>
        <w:trPr/>
        <w:tc>
          <w:tcPr>
            <w:tcW w:w="9185" w:type="dxa"/>
            <w:tcBorders/>
            <w:shd w:fill="CCEEFF" w:val="clear"/>
            <w:vAlign w:val="center"/>
          </w:tcPr>
          <w:p>
            <w:pPr>
              <w:pStyle w:val="TableContents"/>
              <w:bidi w:val="0"/>
              <w:spacing w:before="0" w:after="283"/>
              <w:jc w:val="left"/>
              <w:rPr/>
            </w:pPr>
            <w:hyperlink w:anchor="sa_015">
              <w:r>
                <w:rPr>
                  <w:rStyle w:val="InternetLink"/>
                  <w:rFonts w:ascii="Times New Roman;Times;Serif" w:hAnsi="Times New Roman;Times;Serif"/>
                  <w:sz w:val="20"/>
                </w:rPr>
                <w:t>PROPOSAL 1: ASSET SALE PROPOSAL</w:t>
              </w:r>
            </w:hyperlink>
            <w:r>
              <w:rPr/>
              <w:t xml:space="preserve"> </w:t>
            </w:r>
          </w:p>
        </w:tc>
        <w:tc>
          <w:tcPr>
            <w:tcW w:w="335" w:type="dxa"/>
            <w:tcBorders/>
            <w:shd w:fill="CCEEFF" w:val="clear"/>
            <w:vAlign w:val="center"/>
          </w:tcPr>
          <w:p>
            <w:pPr>
              <w:pStyle w:val="TableContents"/>
              <w:bidi w:val="0"/>
              <w:spacing w:before="0" w:after="283"/>
              <w:jc w:val="right"/>
              <w:rPr/>
            </w:pPr>
            <w:hyperlink w:anchor="sa_015">
              <w:r>
                <w:rPr>
                  <w:rStyle w:val="InternetLink"/>
                </w:rPr>
                <w:t>37</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16">
              <w:r>
                <w:rPr>
                  <w:rStyle w:val="InternetLink"/>
                  <w:rFonts w:ascii="Times New Roman;Times;Serif" w:hAnsi="Times New Roman;Times;Serif"/>
                  <w:sz w:val="20"/>
                </w:rPr>
                <w:t>The Parties to the Sale</w:t>
              </w:r>
            </w:hyperlink>
            <w:r>
              <w:rPr/>
              <w:t xml:space="preserve"> </w:t>
            </w:r>
          </w:p>
        </w:tc>
        <w:tc>
          <w:tcPr>
            <w:tcW w:w="335" w:type="dxa"/>
            <w:tcBorders/>
            <w:shd w:fill="CCEEFF" w:val="clear"/>
            <w:vAlign w:val="center"/>
          </w:tcPr>
          <w:p>
            <w:pPr>
              <w:pStyle w:val="TableContents"/>
              <w:bidi w:val="0"/>
              <w:spacing w:before="0" w:after="283"/>
              <w:jc w:val="right"/>
              <w:rPr/>
            </w:pPr>
            <w:hyperlink w:anchor="sa_016">
              <w:r>
                <w:rPr>
                  <w:rStyle w:val="InternetLink"/>
                </w:rPr>
                <w:t>37</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17">
              <w:r>
                <w:rPr>
                  <w:rStyle w:val="InternetLink"/>
                  <w:rFonts w:ascii="Times New Roman;Times;Serif" w:hAnsi="Times New Roman;Times;Serif"/>
                  <w:sz w:val="20"/>
                </w:rPr>
                <w:t>Background of the Sale</w:t>
              </w:r>
            </w:hyperlink>
            <w:r>
              <w:rPr/>
              <w:t xml:space="preserve"> </w:t>
            </w:r>
          </w:p>
        </w:tc>
        <w:tc>
          <w:tcPr>
            <w:tcW w:w="335" w:type="dxa"/>
            <w:tcBorders/>
            <w:shd w:fill="FFFFFF" w:val="clear"/>
            <w:vAlign w:val="center"/>
          </w:tcPr>
          <w:p>
            <w:pPr>
              <w:pStyle w:val="TableContents"/>
              <w:bidi w:val="0"/>
              <w:spacing w:before="0" w:after="283"/>
              <w:jc w:val="right"/>
              <w:rPr/>
            </w:pPr>
            <w:hyperlink w:anchor="sa_017">
              <w:r>
                <w:rPr>
                  <w:rStyle w:val="InternetLink"/>
                </w:rPr>
                <w:t>38</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18">
              <w:r>
                <w:rPr>
                  <w:rStyle w:val="InternetLink"/>
                  <w:rFonts w:ascii="Times New Roman;Times;Serif" w:hAnsi="Times New Roman;Times;Serif"/>
                  <w:sz w:val="20"/>
                </w:rPr>
                <w:t>Reasons for the Sale</w:t>
              </w:r>
            </w:hyperlink>
            <w:r>
              <w:rPr/>
              <w:t xml:space="preserve"> </w:t>
            </w:r>
          </w:p>
        </w:tc>
        <w:tc>
          <w:tcPr>
            <w:tcW w:w="335" w:type="dxa"/>
            <w:tcBorders/>
            <w:shd w:fill="CCEEFF" w:val="clear"/>
            <w:vAlign w:val="center"/>
          </w:tcPr>
          <w:p>
            <w:pPr>
              <w:pStyle w:val="TableContents"/>
              <w:bidi w:val="0"/>
              <w:spacing w:before="0" w:after="283"/>
              <w:jc w:val="right"/>
              <w:rPr/>
            </w:pPr>
            <w:hyperlink w:anchor="sa_018">
              <w:r>
                <w:rPr>
                  <w:rStyle w:val="InternetLink"/>
                </w:rPr>
                <w:t>41</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19">
              <w:r>
                <w:rPr>
                  <w:rStyle w:val="InternetLink"/>
                  <w:rFonts w:ascii="Times New Roman;Times;Serif" w:hAnsi="Times New Roman;Times;Serif"/>
                  <w:sz w:val="20"/>
                </w:rPr>
                <w:t>Recommendation of the Board</w:t>
              </w:r>
            </w:hyperlink>
            <w:r>
              <w:rPr/>
              <w:t xml:space="preserve"> </w:t>
            </w:r>
          </w:p>
        </w:tc>
        <w:tc>
          <w:tcPr>
            <w:tcW w:w="335" w:type="dxa"/>
            <w:tcBorders/>
            <w:shd w:fill="FFFFFF" w:val="clear"/>
            <w:vAlign w:val="center"/>
          </w:tcPr>
          <w:p>
            <w:pPr>
              <w:pStyle w:val="TableContents"/>
              <w:bidi w:val="0"/>
              <w:spacing w:before="0" w:after="283"/>
              <w:jc w:val="right"/>
              <w:rPr/>
            </w:pPr>
            <w:hyperlink w:anchor="sa_019">
              <w:r>
                <w:rPr>
                  <w:rStyle w:val="InternetLink"/>
                </w:rPr>
                <w:t>42</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20">
              <w:r>
                <w:rPr>
                  <w:rStyle w:val="InternetLink"/>
                  <w:rFonts w:ascii="Times New Roman;Times;Serif" w:hAnsi="Times New Roman;Times;Serif"/>
                  <w:sz w:val="20"/>
                </w:rPr>
                <w:t>Opinion of the Company’s Financial Advisor</w:t>
              </w:r>
            </w:hyperlink>
            <w:r>
              <w:rPr/>
              <w:t xml:space="preserve"> </w:t>
            </w:r>
          </w:p>
        </w:tc>
        <w:tc>
          <w:tcPr>
            <w:tcW w:w="335" w:type="dxa"/>
            <w:tcBorders/>
            <w:shd w:fill="CCEEFF" w:val="clear"/>
            <w:vAlign w:val="center"/>
          </w:tcPr>
          <w:p>
            <w:pPr>
              <w:pStyle w:val="TableContents"/>
              <w:bidi w:val="0"/>
              <w:spacing w:before="0" w:after="283"/>
              <w:jc w:val="right"/>
              <w:rPr/>
            </w:pPr>
            <w:hyperlink w:anchor="sa_020">
              <w:r>
                <w:rPr>
                  <w:rStyle w:val="InternetLink"/>
                </w:rPr>
                <w:t>43</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21">
              <w:r>
                <w:rPr>
                  <w:rStyle w:val="InternetLink"/>
                  <w:rFonts w:ascii="Times New Roman;Times;Serif" w:hAnsi="Times New Roman;Times;Serif"/>
                  <w:sz w:val="20"/>
                </w:rPr>
                <w:t>Certain Financial Projections</w:t>
              </w:r>
            </w:hyperlink>
            <w:r>
              <w:rPr/>
              <w:t xml:space="preserve"> </w:t>
            </w:r>
          </w:p>
        </w:tc>
        <w:tc>
          <w:tcPr>
            <w:tcW w:w="335" w:type="dxa"/>
            <w:tcBorders/>
            <w:shd w:fill="FFFFFF" w:val="clear"/>
            <w:vAlign w:val="center"/>
          </w:tcPr>
          <w:p>
            <w:pPr>
              <w:pStyle w:val="TableContents"/>
              <w:bidi w:val="0"/>
              <w:spacing w:before="0" w:after="283"/>
              <w:jc w:val="right"/>
              <w:rPr/>
            </w:pPr>
            <w:hyperlink w:anchor="sa_021">
              <w:r>
                <w:rPr>
                  <w:rStyle w:val="InternetLink"/>
                </w:rPr>
                <w:t>53</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22">
              <w:r>
                <w:rPr>
                  <w:rStyle w:val="InternetLink"/>
                  <w:rFonts w:ascii="Times New Roman;Times;Serif" w:hAnsi="Times New Roman;Times;Serif"/>
                  <w:sz w:val="20"/>
                </w:rPr>
                <w:t>Net Proceeds from the Asset Sale</w:t>
              </w:r>
            </w:hyperlink>
            <w:r>
              <w:rPr/>
              <w:t xml:space="preserve"> </w:t>
            </w:r>
          </w:p>
        </w:tc>
        <w:tc>
          <w:tcPr>
            <w:tcW w:w="335" w:type="dxa"/>
            <w:tcBorders/>
            <w:shd w:fill="CCEEFF" w:val="clear"/>
            <w:vAlign w:val="center"/>
          </w:tcPr>
          <w:p>
            <w:pPr>
              <w:pStyle w:val="TableContents"/>
              <w:bidi w:val="0"/>
              <w:spacing w:before="0" w:after="283"/>
              <w:jc w:val="right"/>
              <w:rPr/>
            </w:pPr>
            <w:hyperlink w:anchor="sa_022">
              <w:r>
                <w:rPr>
                  <w:rStyle w:val="InternetLink"/>
                </w:rPr>
                <w:t>58</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anan_008">
              <w:r>
                <w:rPr>
                  <w:rStyle w:val="InternetLink"/>
                  <w:rFonts w:ascii="Times New Roman;Times;Serif" w:hAnsi="Times New Roman;Times;Serif"/>
                  <w:sz w:val="20"/>
                </w:rPr>
                <w:t>Interests of Directors and Executive Officers in the Sale</w:t>
              </w:r>
            </w:hyperlink>
            <w:r>
              <w:rPr/>
              <w:t xml:space="preserve"> </w:t>
            </w:r>
          </w:p>
        </w:tc>
        <w:tc>
          <w:tcPr>
            <w:tcW w:w="335" w:type="dxa"/>
            <w:tcBorders/>
            <w:shd w:fill="FFFFFF" w:val="clear"/>
            <w:vAlign w:val="center"/>
          </w:tcPr>
          <w:p>
            <w:pPr>
              <w:pStyle w:val="TableContents"/>
              <w:bidi w:val="0"/>
              <w:spacing w:before="0" w:after="283"/>
              <w:jc w:val="right"/>
              <w:rPr/>
            </w:pPr>
            <w:hyperlink w:anchor="anan_008">
              <w:r>
                <w:rPr>
                  <w:rStyle w:val="InternetLink"/>
                </w:rPr>
                <w:t>58</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24">
              <w:r>
                <w:rPr>
                  <w:rStyle w:val="InternetLink"/>
                  <w:rFonts w:ascii="Times New Roman;Times;Serif" w:hAnsi="Times New Roman;Times;Serif"/>
                  <w:sz w:val="20"/>
                </w:rPr>
                <w:t>Tail Policy</w:t>
              </w:r>
            </w:hyperlink>
            <w:r>
              <w:rPr/>
              <w:t xml:space="preserve"> </w:t>
            </w:r>
          </w:p>
        </w:tc>
        <w:tc>
          <w:tcPr>
            <w:tcW w:w="335" w:type="dxa"/>
            <w:tcBorders/>
            <w:shd w:fill="CCEEFF" w:val="clear"/>
            <w:vAlign w:val="center"/>
          </w:tcPr>
          <w:p>
            <w:pPr>
              <w:pStyle w:val="TableContents"/>
              <w:bidi w:val="0"/>
              <w:spacing w:before="0" w:after="283"/>
              <w:jc w:val="right"/>
              <w:rPr/>
            </w:pPr>
            <w:hyperlink w:anchor="sa_024">
              <w:r>
                <w:rPr>
                  <w:rStyle w:val="InternetLink"/>
                </w:rPr>
                <w:t>61</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anan_009">
              <w:r>
                <w:rPr>
                  <w:rStyle w:val="InternetLink"/>
                </w:rPr>
                <w:t>Accounting Treatment of the Sale</w:t>
              </w:r>
            </w:hyperlink>
            <w:r>
              <w:rPr/>
              <w:t xml:space="preserve"> </w:t>
            </w:r>
          </w:p>
        </w:tc>
        <w:tc>
          <w:tcPr>
            <w:tcW w:w="335" w:type="dxa"/>
            <w:tcBorders/>
            <w:shd w:fill="FFFFFF" w:val="clear"/>
            <w:vAlign w:val="center"/>
          </w:tcPr>
          <w:p>
            <w:pPr>
              <w:pStyle w:val="TableContents"/>
              <w:bidi w:val="0"/>
              <w:spacing w:before="0" w:after="283"/>
              <w:jc w:val="right"/>
              <w:rPr/>
            </w:pPr>
            <w:hyperlink w:anchor="anan_009">
              <w:r>
                <w:rPr>
                  <w:rStyle w:val="InternetLink"/>
                </w:rPr>
                <w:t>61</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anan_010">
              <w:r>
                <w:rPr>
                  <w:rStyle w:val="InternetLink"/>
                </w:rPr>
                <w:t>Regulatory Approvals</w:t>
              </w:r>
            </w:hyperlink>
            <w:r>
              <w:rPr/>
              <w:t xml:space="preserve"> </w:t>
            </w:r>
          </w:p>
        </w:tc>
        <w:tc>
          <w:tcPr>
            <w:tcW w:w="335" w:type="dxa"/>
            <w:tcBorders/>
            <w:shd w:fill="CCEEFF" w:val="clear"/>
            <w:vAlign w:val="center"/>
          </w:tcPr>
          <w:p>
            <w:pPr>
              <w:pStyle w:val="TableContents"/>
              <w:bidi w:val="0"/>
              <w:spacing w:before="0" w:after="283"/>
              <w:jc w:val="right"/>
              <w:rPr/>
            </w:pPr>
            <w:hyperlink w:anchor="anan_010">
              <w:r>
                <w:rPr>
                  <w:rStyle w:val="InternetLink"/>
                </w:rPr>
                <w:t>61</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25">
              <w:r>
                <w:rPr>
                  <w:rStyle w:val="InternetLink"/>
                  <w:rFonts w:ascii="Times New Roman;Times;Serif" w:hAnsi="Times New Roman;Times;Serif"/>
                  <w:sz w:val="20"/>
                </w:rPr>
                <w:t>No Appraisal or Dissenters’ Rights</w:t>
              </w:r>
            </w:hyperlink>
            <w:r>
              <w:rPr/>
              <w:t xml:space="preserve"> </w:t>
            </w:r>
          </w:p>
        </w:tc>
        <w:tc>
          <w:tcPr>
            <w:tcW w:w="335" w:type="dxa"/>
            <w:tcBorders/>
            <w:shd w:fill="FFFFFF" w:val="clear"/>
            <w:vAlign w:val="center"/>
          </w:tcPr>
          <w:p>
            <w:pPr>
              <w:pStyle w:val="TableContents"/>
              <w:bidi w:val="0"/>
              <w:spacing w:before="0" w:after="283"/>
              <w:jc w:val="right"/>
              <w:rPr/>
            </w:pPr>
            <w:hyperlink w:anchor="sa_025">
              <w:r>
                <w:rPr>
                  <w:rStyle w:val="InternetLink"/>
                </w:rPr>
                <w:t>61</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anan_011">
              <w:r>
                <w:rPr>
                  <w:rStyle w:val="InternetLink"/>
                </w:rPr>
                <w:t>Vote Required</w:t>
              </w:r>
            </w:hyperlink>
            <w:r>
              <w:rPr/>
              <w:t xml:space="preserve"> </w:t>
            </w:r>
          </w:p>
        </w:tc>
        <w:tc>
          <w:tcPr>
            <w:tcW w:w="335" w:type="dxa"/>
            <w:tcBorders/>
            <w:shd w:fill="CCEEFF" w:val="clear"/>
            <w:vAlign w:val="center"/>
          </w:tcPr>
          <w:p>
            <w:pPr>
              <w:pStyle w:val="TableContents"/>
              <w:bidi w:val="0"/>
              <w:spacing w:before="0" w:after="283"/>
              <w:jc w:val="right"/>
              <w:rPr/>
            </w:pPr>
            <w:hyperlink w:anchor="anan_011">
              <w:r>
                <w:rPr>
                  <w:rStyle w:val="InternetLink"/>
                </w:rPr>
                <w:t>62</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anan_012">
              <w:r>
                <w:rPr>
                  <w:rStyle w:val="InternetLink"/>
                </w:rPr>
                <w:t>Stockholder Approval; Termination of the Purchase Agreement</w:t>
              </w:r>
            </w:hyperlink>
            <w:r>
              <w:rPr/>
              <w:t xml:space="preserve"> </w:t>
            </w:r>
          </w:p>
        </w:tc>
        <w:tc>
          <w:tcPr>
            <w:tcW w:w="335" w:type="dxa"/>
            <w:tcBorders/>
            <w:shd w:fill="FFFFFF" w:val="clear"/>
            <w:vAlign w:val="center"/>
          </w:tcPr>
          <w:p>
            <w:pPr>
              <w:pStyle w:val="TableContents"/>
              <w:bidi w:val="0"/>
              <w:spacing w:before="0" w:after="283"/>
              <w:jc w:val="right"/>
              <w:rPr/>
            </w:pPr>
            <w:hyperlink w:anchor="anan_012">
              <w:r>
                <w:rPr>
                  <w:rStyle w:val="InternetLink"/>
                </w:rPr>
                <w:t>62</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26">
              <w:r>
                <w:rPr>
                  <w:rStyle w:val="InternetLink"/>
                  <w:rFonts w:ascii="Times New Roman;Times;Serif" w:hAnsi="Times New Roman;Times;Serif"/>
                  <w:sz w:val="20"/>
                </w:rPr>
                <w:t>UNAUDITED PRO FORMA CONDENSED COMBINED FINANCIAL INFORMATION</w:t>
              </w:r>
            </w:hyperlink>
            <w:r>
              <w:rPr/>
              <w:t xml:space="preserve"> </w:t>
            </w:r>
          </w:p>
        </w:tc>
        <w:tc>
          <w:tcPr>
            <w:tcW w:w="335" w:type="dxa"/>
            <w:tcBorders/>
            <w:shd w:fill="CCEEFF" w:val="clear"/>
            <w:vAlign w:val="center"/>
          </w:tcPr>
          <w:p>
            <w:pPr>
              <w:pStyle w:val="TableContents"/>
              <w:bidi w:val="0"/>
              <w:spacing w:before="0" w:after="283"/>
              <w:jc w:val="right"/>
              <w:rPr/>
            </w:pPr>
            <w:hyperlink w:anchor="sa_026">
              <w:r>
                <w:rPr>
                  <w:rStyle w:val="InternetLink"/>
                </w:rPr>
                <w:t>63</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27">
              <w:r>
                <w:rPr>
                  <w:rStyle w:val="InternetLink"/>
                  <w:rFonts w:ascii="Times New Roman;Times;Serif" w:hAnsi="Times New Roman;Times;Serif"/>
                  <w:sz w:val="20"/>
                </w:rPr>
                <w:t>PROPOSAL 2: COMPENSATION PROPOSAL</w:t>
              </w:r>
            </w:hyperlink>
            <w:r>
              <w:rPr/>
              <w:t xml:space="preserve"> </w:t>
            </w:r>
          </w:p>
        </w:tc>
        <w:tc>
          <w:tcPr>
            <w:tcW w:w="335" w:type="dxa"/>
            <w:tcBorders/>
            <w:shd w:fill="CCEEFF" w:val="clear"/>
            <w:vAlign w:val="center"/>
          </w:tcPr>
          <w:p>
            <w:pPr>
              <w:pStyle w:val="TableContents"/>
              <w:bidi w:val="0"/>
              <w:spacing w:before="0" w:after="283"/>
              <w:jc w:val="right"/>
              <w:rPr/>
            </w:pPr>
            <w:hyperlink w:anchor="sa_027">
              <w:r>
                <w:rPr>
                  <w:rStyle w:val="InternetLink"/>
                </w:rPr>
                <w:t>69</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28">
              <w:r>
                <w:rPr>
                  <w:rStyle w:val="InternetLink"/>
                  <w:rFonts w:ascii="Times New Roman;Times;Serif" w:hAnsi="Times New Roman;Times;Serif"/>
                  <w:sz w:val="20"/>
                </w:rPr>
                <w:t>Vote required</w:t>
              </w:r>
            </w:hyperlink>
            <w:r>
              <w:rPr/>
              <w:t xml:space="preserve"> </w:t>
            </w:r>
          </w:p>
        </w:tc>
        <w:tc>
          <w:tcPr>
            <w:tcW w:w="335" w:type="dxa"/>
            <w:tcBorders/>
            <w:shd w:fill="CCEEFF" w:val="clear"/>
            <w:vAlign w:val="center"/>
          </w:tcPr>
          <w:p>
            <w:pPr>
              <w:pStyle w:val="TableContents"/>
              <w:bidi w:val="0"/>
              <w:spacing w:before="0" w:after="283"/>
              <w:jc w:val="right"/>
              <w:rPr/>
            </w:pPr>
            <w:hyperlink w:anchor="sa_028">
              <w:r>
                <w:rPr>
                  <w:rStyle w:val="InternetLink"/>
                </w:rPr>
                <w:t>69</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29">
              <w:r>
                <w:rPr>
                  <w:rStyle w:val="InternetLink"/>
                  <w:rFonts w:ascii="Times New Roman;Times;Serif" w:hAnsi="Times New Roman;Times;Serif"/>
                  <w:sz w:val="20"/>
                </w:rPr>
                <w:t>Recommendation of the Board</w:t>
              </w:r>
            </w:hyperlink>
            <w:r>
              <w:rPr/>
              <w:t xml:space="preserve"> </w:t>
            </w:r>
          </w:p>
        </w:tc>
        <w:tc>
          <w:tcPr>
            <w:tcW w:w="335" w:type="dxa"/>
            <w:tcBorders/>
            <w:shd w:fill="FFFFFF" w:val="clear"/>
            <w:vAlign w:val="center"/>
          </w:tcPr>
          <w:p>
            <w:pPr>
              <w:pStyle w:val="TableContents"/>
              <w:bidi w:val="0"/>
              <w:spacing w:before="0" w:after="283"/>
              <w:jc w:val="right"/>
              <w:rPr/>
            </w:pPr>
            <w:hyperlink w:anchor="sa_029">
              <w:r>
                <w:rPr>
                  <w:rStyle w:val="InternetLink"/>
                </w:rPr>
                <w:t>69</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ab_001">
              <w:r>
                <w:rPr>
                  <w:rStyle w:val="InternetLink"/>
                </w:rPr>
                <w:t>PROPOSAL 3: INCENTIVE PLAN PROPOSAL</w:t>
              </w:r>
            </w:hyperlink>
            <w:r>
              <w:rPr/>
              <w:t xml:space="preserve"> </w:t>
            </w:r>
          </w:p>
        </w:tc>
        <w:tc>
          <w:tcPr>
            <w:tcW w:w="335" w:type="dxa"/>
            <w:tcBorders/>
            <w:shd w:fill="FFFFFF" w:val="clear"/>
            <w:vAlign w:val="center"/>
          </w:tcPr>
          <w:p>
            <w:pPr>
              <w:pStyle w:val="TableContents"/>
              <w:bidi w:val="0"/>
              <w:spacing w:before="0" w:after="283"/>
              <w:jc w:val="right"/>
              <w:rPr/>
            </w:pPr>
            <w:hyperlink w:anchor="ab_001">
              <w:r>
                <w:rPr>
                  <w:rStyle w:val="InternetLink"/>
                </w:rPr>
                <w:t>70</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ab_002">
              <w:r>
                <w:rPr>
                  <w:rStyle w:val="InternetLink"/>
                </w:rPr>
                <w:t>Vote required</w:t>
              </w:r>
            </w:hyperlink>
            <w:r>
              <w:rPr/>
              <w:t xml:space="preserve"> </w:t>
            </w:r>
          </w:p>
        </w:tc>
        <w:tc>
          <w:tcPr>
            <w:tcW w:w="335" w:type="dxa"/>
            <w:tcBorders/>
            <w:shd w:fill="FFFFFF" w:val="clear"/>
            <w:vAlign w:val="center"/>
          </w:tcPr>
          <w:p>
            <w:pPr>
              <w:pStyle w:val="TableContents"/>
              <w:bidi w:val="0"/>
              <w:spacing w:before="0" w:after="283"/>
              <w:jc w:val="right"/>
              <w:rPr/>
            </w:pPr>
            <w:hyperlink w:anchor="ab_002">
              <w:r>
                <w:rPr>
                  <w:rStyle w:val="InternetLink"/>
                </w:rPr>
                <w:t>75</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ab_002">
              <w:r>
                <w:rPr>
                  <w:rStyle w:val="InternetLink"/>
                </w:rPr>
                <w:t>Recommendation of the Board</w:t>
              </w:r>
            </w:hyperlink>
            <w:r>
              <w:rPr/>
              <w:t xml:space="preserve"> </w:t>
            </w:r>
          </w:p>
        </w:tc>
        <w:tc>
          <w:tcPr>
            <w:tcW w:w="335" w:type="dxa"/>
            <w:tcBorders/>
            <w:shd w:fill="CCEEFF" w:val="clear"/>
            <w:vAlign w:val="center"/>
          </w:tcPr>
          <w:p>
            <w:pPr>
              <w:pStyle w:val="TableContents"/>
              <w:bidi w:val="0"/>
              <w:spacing w:before="0" w:after="283"/>
              <w:jc w:val="right"/>
              <w:rPr/>
            </w:pPr>
            <w:hyperlink w:anchor="ab_002">
              <w:r>
                <w:rPr>
                  <w:rStyle w:val="InternetLink"/>
                </w:rPr>
                <w:t>75</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30">
              <w:r>
                <w:rPr>
                  <w:rStyle w:val="InternetLink"/>
                  <w:rFonts w:ascii="Times New Roman;Times;Serif" w:hAnsi="Times New Roman;Times;Serif"/>
                  <w:caps/>
                  <w:sz w:val="20"/>
                </w:rPr>
                <w:t>PROPOSAL 4: ADJOURNMENT Proposal</w:t>
              </w:r>
            </w:hyperlink>
            <w:r>
              <w:rPr/>
              <w:t xml:space="preserve"> </w:t>
            </w:r>
          </w:p>
        </w:tc>
        <w:tc>
          <w:tcPr>
            <w:tcW w:w="335" w:type="dxa"/>
            <w:tcBorders/>
            <w:shd w:fill="CCEEFF" w:val="clear"/>
            <w:vAlign w:val="center"/>
          </w:tcPr>
          <w:p>
            <w:pPr>
              <w:pStyle w:val="TableContents"/>
              <w:bidi w:val="0"/>
              <w:spacing w:before="0" w:after="283"/>
              <w:jc w:val="right"/>
              <w:rPr/>
            </w:pPr>
            <w:hyperlink w:anchor="sa_030">
              <w:r>
                <w:rPr>
                  <w:rStyle w:val="InternetLink"/>
                </w:rPr>
                <w:t>76</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31">
              <w:r>
                <w:rPr>
                  <w:rStyle w:val="InternetLink"/>
                  <w:rFonts w:ascii="Times New Roman;Times;Serif" w:hAnsi="Times New Roman;Times;Serif"/>
                  <w:sz w:val="20"/>
                </w:rPr>
                <w:t>Vote Required for Approval</w:t>
              </w:r>
            </w:hyperlink>
            <w:r>
              <w:rPr/>
              <w:t xml:space="preserve"> </w:t>
            </w:r>
          </w:p>
        </w:tc>
        <w:tc>
          <w:tcPr>
            <w:tcW w:w="335" w:type="dxa"/>
            <w:tcBorders/>
            <w:shd w:fill="CCEEFF" w:val="clear"/>
            <w:vAlign w:val="center"/>
          </w:tcPr>
          <w:p>
            <w:pPr>
              <w:pStyle w:val="TableContents"/>
              <w:bidi w:val="0"/>
              <w:spacing w:before="0" w:after="283"/>
              <w:jc w:val="right"/>
              <w:rPr/>
            </w:pPr>
            <w:hyperlink w:anchor="sa_031">
              <w:r>
                <w:rPr>
                  <w:rStyle w:val="InternetLink"/>
                </w:rPr>
                <w:t>76</w:t>
              </w:r>
            </w:hyperlink>
            <w:r>
              <w:rPr/>
              <w:t xml:space="preserve"> </w:t>
            </w:r>
          </w:p>
        </w:tc>
      </w:tr>
      <w:tr>
        <w:trPr/>
        <w:tc>
          <w:tcPr>
            <w:tcW w:w="9185" w:type="dxa"/>
            <w:tcBorders/>
            <w:shd w:fill="FFFFFF" w:val="clear"/>
            <w:vAlign w:val="center"/>
          </w:tcPr>
          <w:p>
            <w:pPr>
              <w:pStyle w:val="TableContents"/>
              <w:bidi w:val="0"/>
              <w:spacing w:before="0" w:after="283"/>
              <w:jc w:val="left"/>
              <w:rPr/>
            </w:pPr>
            <w:hyperlink w:anchor="sa_032">
              <w:r>
                <w:rPr>
                  <w:rStyle w:val="InternetLink"/>
                  <w:rFonts w:ascii="Times New Roman;Times;Serif" w:hAnsi="Times New Roman;Times;Serif"/>
                  <w:sz w:val="20"/>
                </w:rPr>
                <w:t>Recommendation of the Board</w:t>
              </w:r>
            </w:hyperlink>
            <w:r>
              <w:rPr/>
              <w:t xml:space="preserve"> </w:t>
            </w:r>
          </w:p>
        </w:tc>
        <w:tc>
          <w:tcPr>
            <w:tcW w:w="335" w:type="dxa"/>
            <w:tcBorders/>
            <w:shd w:fill="FFFFFF" w:val="clear"/>
            <w:vAlign w:val="center"/>
          </w:tcPr>
          <w:p>
            <w:pPr>
              <w:pStyle w:val="TableContents"/>
              <w:bidi w:val="0"/>
              <w:spacing w:before="0" w:after="283"/>
              <w:jc w:val="right"/>
              <w:rPr/>
            </w:pPr>
            <w:hyperlink w:anchor="sa_032">
              <w:r>
                <w:rPr>
                  <w:rStyle w:val="InternetLink"/>
                  <w:rFonts w:ascii="Times New Roman;Times;Serif" w:hAnsi="Times New Roman;Times;Serif"/>
                  <w:sz w:val="20"/>
                </w:rPr>
                <w:t>76</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sa_033">
              <w:r>
                <w:rPr>
                  <w:rStyle w:val="InternetLink"/>
                  <w:rFonts w:ascii="Times New Roman;Times;Serif" w:hAnsi="Times New Roman;Times;Serif"/>
                  <w:sz w:val="20"/>
                </w:rPr>
                <w:t>MATERIAL UNITED STATES FEDERAL INCOME TAX CONSEQUENCES TO COMPANY STOCKHOLDERS</w:t>
              </w:r>
            </w:hyperlink>
            <w:r>
              <w:rPr/>
              <w:t xml:space="preserve"> </w:t>
            </w:r>
          </w:p>
        </w:tc>
        <w:tc>
          <w:tcPr>
            <w:tcW w:w="335" w:type="dxa"/>
            <w:tcBorders/>
            <w:shd w:fill="FFFFFF" w:val="clear"/>
            <w:vAlign w:val="center"/>
          </w:tcPr>
          <w:p>
            <w:pPr>
              <w:pStyle w:val="TableContents"/>
              <w:bidi w:val="0"/>
              <w:spacing w:before="0" w:after="283"/>
              <w:jc w:val="right"/>
              <w:rPr/>
            </w:pPr>
            <w:hyperlink w:anchor="sa_033">
              <w:r>
                <w:rPr>
                  <w:rStyle w:val="InternetLink"/>
                </w:rPr>
                <w:t>77</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sa_034">
              <w:r>
                <w:rPr>
                  <w:rStyle w:val="InternetLink"/>
                  <w:rFonts w:ascii="Times New Roman;Times;Serif" w:hAnsi="Times New Roman;Times;Serif"/>
                  <w:sz w:val="20"/>
                </w:rPr>
                <w:t>Certain U.S. Federal Income Tax Consequences Of The Asset Sale</w:t>
              </w:r>
            </w:hyperlink>
            <w:r>
              <w:rPr/>
              <w:t xml:space="preserve"> </w:t>
            </w:r>
          </w:p>
        </w:tc>
        <w:tc>
          <w:tcPr>
            <w:tcW w:w="335" w:type="dxa"/>
            <w:tcBorders/>
            <w:shd w:fill="FFFFFF" w:val="clear"/>
            <w:vAlign w:val="center"/>
          </w:tcPr>
          <w:p>
            <w:pPr>
              <w:pStyle w:val="TableContents"/>
              <w:bidi w:val="0"/>
              <w:spacing w:before="0" w:after="283"/>
              <w:jc w:val="right"/>
              <w:rPr/>
            </w:pPr>
            <w:hyperlink w:anchor="sa_034">
              <w:r>
                <w:rPr>
                  <w:rStyle w:val="InternetLink"/>
                </w:rPr>
                <w:t>77</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sa_035">
              <w:r>
                <w:rPr>
                  <w:rStyle w:val="InternetLink"/>
                  <w:rFonts w:ascii="Times New Roman;Times;Serif" w:hAnsi="Times New Roman;Times;Serif"/>
                  <w:sz w:val="20"/>
                </w:rPr>
                <w:t>CERTAIN RELATIONSHIPS AND RELATED PERSON TRANSACTIONS</w:t>
              </w:r>
            </w:hyperlink>
            <w:r>
              <w:rPr/>
              <w:t xml:space="preserve"> </w:t>
            </w:r>
          </w:p>
        </w:tc>
        <w:tc>
          <w:tcPr>
            <w:tcW w:w="335" w:type="dxa"/>
            <w:tcBorders/>
            <w:shd w:fill="FFFFFF" w:val="clear"/>
            <w:vAlign w:val="center"/>
          </w:tcPr>
          <w:p>
            <w:pPr>
              <w:pStyle w:val="TableContents"/>
              <w:bidi w:val="0"/>
              <w:spacing w:before="0" w:after="283"/>
              <w:jc w:val="right"/>
              <w:rPr/>
            </w:pPr>
            <w:hyperlink w:anchor="sa_035">
              <w:r>
                <w:rPr>
                  <w:rStyle w:val="InternetLink"/>
                </w:rPr>
                <w:t>78</w:t>
              </w:r>
            </w:hyperlink>
            <w:r>
              <w:rPr/>
              <w:t xml:space="preserve"> </w:t>
            </w:r>
          </w:p>
        </w:tc>
      </w:tr>
      <w:tr>
        <w:trPr/>
        <w:tc>
          <w:tcPr>
            <w:tcW w:w="9185" w:type="dxa"/>
            <w:tcBorders/>
            <w:shd w:fill="CCEEFF" w:val="clear"/>
            <w:vAlign w:val="center"/>
          </w:tcPr>
          <w:p>
            <w:pPr>
              <w:pStyle w:val="TableContents"/>
              <w:bidi w:val="0"/>
              <w:spacing w:before="0" w:after="283"/>
              <w:jc w:val="left"/>
              <w:rPr/>
            </w:pPr>
            <w:r>
              <w:rPr/>
              <w:t xml:space="preserve">  </w:t>
            </w:r>
          </w:p>
        </w:tc>
        <w:tc>
          <w:tcPr>
            <w:tcW w:w="335" w:type="dxa"/>
            <w:tcBorders/>
            <w:shd w:fill="CCEEFF" w:val="clear"/>
            <w:vAlign w:val="center"/>
          </w:tcPr>
          <w:p>
            <w:pPr>
              <w:pStyle w:val="TableContents"/>
              <w:bidi w:val="0"/>
              <w:spacing w:before="0" w:after="283"/>
              <w:jc w:val="right"/>
              <w:rPr/>
            </w:pPr>
            <w:r>
              <w:rPr/>
              <w:t xml:space="preserve">  </w:t>
            </w:r>
          </w:p>
        </w:tc>
      </w:tr>
      <w:tr>
        <w:trPr/>
        <w:tc>
          <w:tcPr>
            <w:tcW w:w="9185" w:type="dxa"/>
            <w:tcBorders/>
            <w:shd w:fill="FFFFFF" w:val="clear"/>
            <w:vAlign w:val="center"/>
          </w:tcPr>
          <w:p>
            <w:pPr>
              <w:pStyle w:val="TableContents"/>
              <w:bidi w:val="0"/>
              <w:spacing w:before="0" w:after="283"/>
              <w:jc w:val="left"/>
              <w:rPr/>
            </w:pPr>
            <w:hyperlink w:anchor="sa_036">
              <w:r>
                <w:rPr>
                  <w:rStyle w:val="InternetLink"/>
                  <w:rFonts w:ascii="Times New Roman;Times;Serif" w:hAnsi="Times New Roman;Times;Serif"/>
                  <w:sz w:val="20"/>
                </w:rPr>
                <w:t>Related Person Transactions Approval Policy</w:t>
              </w:r>
            </w:hyperlink>
            <w:r>
              <w:rPr/>
              <w:t xml:space="preserve"> </w:t>
            </w:r>
          </w:p>
        </w:tc>
        <w:tc>
          <w:tcPr>
            <w:tcW w:w="335" w:type="dxa"/>
            <w:tcBorders/>
            <w:shd w:fill="FFFFFF" w:val="clear"/>
            <w:vAlign w:val="center"/>
          </w:tcPr>
          <w:p>
            <w:pPr>
              <w:pStyle w:val="TableContents"/>
              <w:bidi w:val="0"/>
              <w:spacing w:before="0" w:after="283"/>
              <w:jc w:val="right"/>
              <w:rPr/>
            </w:pPr>
            <w:hyperlink w:anchor="sa_036">
              <w:r>
                <w:rPr>
                  <w:rStyle w:val="InternetLink"/>
                </w:rPr>
                <w:t>78</w:t>
              </w:r>
            </w:hyperlink>
            <w:r>
              <w:rPr/>
              <w:t xml:space="preserve"> </w:t>
            </w:r>
          </w:p>
        </w:tc>
      </w:tr>
      <w:tr>
        <w:trPr/>
        <w:tc>
          <w:tcPr>
            <w:tcW w:w="9185" w:type="dxa"/>
            <w:tcBorders/>
            <w:shd w:fill="CCEEFF" w:val="clear"/>
            <w:vAlign w:val="center"/>
          </w:tcPr>
          <w:p>
            <w:pPr>
              <w:pStyle w:val="TableContents"/>
              <w:bidi w:val="0"/>
              <w:spacing w:before="0" w:after="283"/>
              <w:jc w:val="left"/>
              <w:rPr/>
            </w:pPr>
            <w:hyperlink w:anchor="sa_037">
              <w:r>
                <w:rPr>
                  <w:rStyle w:val="InternetLink"/>
                  <w:rFonts w:ascii="Times New Roman;Times;Serif" w:hAnsi="Times New Roman;Times;Serif"/>
                  <w:sz w:val="20"/>
                </w:rPr>
                <w:t>Transactions with Related Persons</w:t>
              </w:r>
            </w:hyperlink>
            <w:r>
              <w:rPr/>
              <w:t xml:space="preserve"> </w:t>
            </w:r>
          </w:p>
        </w:tc>
        <w:tc>
          <w:tcPr>
            <w:tcW w:w="335" w:type="dxa"/>
            <w:tcBorders/>
            <w:shd w:fill="CCEEFF" w:val="clear"/>
            <w:vAlign w:val="center"/>
          </w:tcPr>
          <w:p>
            <w:pPr>
              <w:pStyle w:val="TableContents"/>
              <w:bidi w:val="0"/>
              <w:spacing w:before="0" w:after="283"/>
              <w:jc w:val="right"/>
              <w:rPr/>
            </w:pPr>
            <w:hyperlink w:anchor="sa_037">
              <w:r>
                <w:rPr>
                  <w:rStyle w:val="InternetLink"/>
                </w:rPr>
                <w:t>78</w:t>
              </w:r>
            </w:hyperlink>
            <w:r>
              <w:rPr/>
              <w:t xml:space="preserve"> </w:t>
            </w:r>
          </w:p>
        </w:tc>
      </w:tr>
      <w:tr>
        <w:trPr/>
        <w:tc>
          <w:tcPr>
            <w:tcW w:w="9185" w:type="dxa"/>
            <w:tcBorders/>
            <w:shd w:fill="FFFFFF" w:val="clear"/>
            <w:vAlign w:val="center"/>
          </w:tcPr>
          <w:p>
            <w:pPr>
              <w:pStyle w:val="TableContents"/>
              <w:bidi w:val="0"/>
              <w:spacing w:before="0" w:after="283"/>
              <w:jc w:val="left"/>
              <w:rPr/>
            </w:pPr>
            <w:r>
              <w:rPr/>
              <w:t xml:space="preserve">  </w:t>
            </w:r>
          </w:p>
        </w:tc>
        <w:tc>
          <w:tcPr>
            <w:tcW w:w="335" w:type="dxa"/>
            <w:tcBorders/>
            <w:shd w:fill="FFFFFF" w:val="clear"/>
            <w:vAlign w:val="center"/>
          </w:tcPr>
          <w:p>
            <w:pPr>
              <w:pStyle w:val="TableContents"/>
              <w:bidi w:val="0"/>
              <w:spacing w:before="0" w:after="283"/>
              <w:jc w:val="right"/>
              <w:rPr/>
            </w:pPr>
            <w:r>
              <w:rPr/>
              <w:t xml:space="preserve">  </w:t>
            </w:r>
          </w:p>
        </w:tc>
      </w:tr>
      <w:tr>
        <w:trPr/>
        <w:tc>
          <w:tcPr>
            <w:tcW w:w="9185" w:type="dxa"/>
            <w:tcBorders/>
            <w:shd w:fill="CCEEFF" w:val="clear"/>
            <w:vAlign w:val="center"/>
          </w:tcPr>
          <w:p>
            <w:pPr>
              <w:pStyle w:val="TableContents"/>
              <w:bidi w:val="0"/>
              <w:spacing w:before="0" w:after="283"/>
              <w:jc w:val="left"/>
              <w:rPr/>
            </w:pPr>
            <w:hyperlink w:anchor="sa_038">
              <w:r>
                <w:rPr>
                  <w:rStyle w:val="InternetLink"/>
                  <w:rFonts w:ascii="Times New Roman;Times;Serif" w:hAnsi="Times New Roman;Times;Serif"/>
                  <w:sz w:val="20"/>
                </w:rPr>
                <w:t>SECURITY OWNERSHIP OF CERTAIN BENEFICIAL OWNERS AND MANAGEMENT</w:t>
              </w:r>
            </w:hyperlink>
            <w:r>
              <w:rPr/>
              <w:t xml:space="preserve"> </w:t>
            </w:r>
          </w:p>
        </w:tc>
        <w:tc>
          <w:tcPr>
            <w:tcW w:w="335" w:type="dxa"/>
            <w:tcBorders/>
            <w:shd w:fill="CCEEFF" w:val="clear"/>
            <w:vAlign w:val="center"/>
          </w:tcPr>
          <w:p>
            <w:pPr>
              <w:pStyle w:val="TableContents"/>
              <w:bidi w:val="0"/>
              <w:spacing w:before="0" w:after="283"/>
              <w:jc w:val="right"/>
              <w:rPr/>
            </w:pPr>
            <w:hyperlink w:anchor="sa_038">
              <w:r>
                <w:rPr>
                  <w:rStyle w:val="InternetLink"/>
                </w:rPr>
                <w:t>79</w:t>
              </w:r>
            </w:hyperlink>
            <w:r>
              <w:rPr/>
              <w:t xml:space="preserve">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895" w:type="dxa"/>
        <w:jc w:val="left"/>
        <w:tblInd w:w="0" w:type="dxa"/>
        <w:tblLayout w:type="fixed"/>
        <w:tblCellMar>
          <w:top w:w="0" w:type="dxa"/>
          <w:left w:w="0" w:type="dxa"/>
          <w:bottom w:w="0" w:type="dxa"/>
          <w:right w:w="0" w:type="dxa"/>
        </w:tblCellMar>
      </w:tblPr>
      <w:tblGrid>
        <w:gridCol w:w="6560"/>
        <w:gridCol w:w="335"/>
      </w:tblGrid>
      <w:tr>
        <w:trPr/>
        <w:tc>
          <w:tcPr>
            <w:tcW w:w="6560" w:type="dxa"/>
            <w:tcBorders/>
            <w:shd w:fill="CCEEFF" w:val="clear"/>
            <w:vAlign w:val="center"/>
          </w:tcPr>
          <w:p>
            <w:pPr>
              <w:pStyle w:val="TableContents"/>
              <w:bidi w:val="0"/>
              <w:spacing w:before="0" w:after="283"/>
              <w:jc w:val="left"/>
              <w:rPr/>
            </w:pPr>
            <w:hyperlink w:anchor="sa_039">
              <w:r>
                <w:rPr>
                  <w:rStyle w:val="InternetLink"/>
                  <w:rFonts w:ascii="Times New Roman;Times;Serif" w:hAnsi="Times New Roman;Times;Serif"/>
                  <w:sz w:val="20"/>
                </w:rPr>
                <w:t>OTHER MATTERS</w:t>
              </w:r>
            </w:hyperlink>
            <w:r>
              <w:rPr/>
              <w:t xml:space="preserve"> </w:t>
            </w:r>
          </w:p>
        </w:tc>
        <w:tc>
          <w:tcPr>
            <w:tcW w:w="335" w:type="dxa"/>
            <w:tcBorders/>
            <w:shd w:fill="CCEEFF" w:val="clear"/>
            <w:vAlign w:val="center"/>
          </w:tcPr>
          <w:p>
            <w:pPr>
              <w:pStyle w:val="TableContents"/>
              <w:bidi w:val="0"/>
              <w:spacing w:before="0" w:after="283"/>
              <w:jc w:val="right"/>
              <w:rPr/>
            </w:pPr>
            <w:hyperlink w:anchor="sa_039">
              <w:r>
                <w:rPr>
                  <w:rStyle w:val="InternetLink"/>
                </w:rPr>
                <w:t>81</w:t>
              </w:r>
            </w:hyperlink>
            <w:r>
              <w:rPr/>
              <w:t xml:space="preserve"> </w:t>
            </w:r>
          </w:p>
        </w:tc>
      </w:tr>
      <w:tr>
        <w:trPr/>
        <w:tc>
          <w:tcPr>
            <w:tcW w:w="6560" w:type="dxa"/>
            <w:tcBorders/>
            <w:shd w:fill="FFFFFF" w:val="clear"/>
            <w:vAlign w:val="center"/>
          </w:tcPr>
          <w:p>
            <w:pPr>
              <w:pStyle w:val="TableContents"/>
              <w:bidi w:val="0"/>
              <w:spacing w:before="0" w:after="283"/>
              <w:jc w:val="left"/>
              <w:rPr/>
            </w:pPr>
            <w:hyperlink w:anchor="sa_040">
              <w:r>
                <w:rPr>
                  <w:rStyle w:val="InternetLink"/>
                  <w:rFonts w:ascii="Times New Roman;Times;Serif" w:hAnsi="Times New Roman;Times;Serif"/>
                  <w:sz w:val="20"/>
                </w:rPr>
                <w:t>STOCKHOLDER COMMUNICATIONS</w:t>
              </w:r>
            </w:hyperlink>
            <w:r>
              <w:rPr/>
              <w:t xml:space="preserve"> </w:t>
            </w:r>
          </w:p>
        </w:tc>
        <w:tc>
          <w:tcPr>
            <w:tcW w:w="335" w:type="dxa"/>
            <w:tcBorders/>
            <w:shd w:fill="FFFFFF" w:val="clear"/>
            <w:vAlign w:val="center"/>
          </w:tcPr>
          <w:p>
            <w:pPr>
              <w:pStyle w:val="TableContents"/>
              <w:bidi w:val="0"/>
              <w:spacing w:before="0" w:after="283"/>
              <w:jc w:val="right"/>
              <w:rPr/>
            </w:pPr>
            <w:hyperlink w:anchor="sa_040">
              <w:r>
                <w:rPr>
                  <w:rStyle w:val="InternetLink"/>
                </w:rPr>
                <w:t>81</w:t>
              </w:r>
            </w:hyperlink>
            <w:r>
              <w:rPr/>
              <w:t xml:space="preserve"> </w:t>
            </w:r>
          </w:p>
        </w:tc>
      </w:tr>
      <w:tr>
        <w:trPr/>
        <w:tc>
          <w:tcPr>
            <w:tcW w:w="6560" w:type="dxa"/>
            <w:tcBorders/>
            <w:shd w:fill="CCEEFF" w:val="clear"/>
            <w:vAlign w:val="center"/>
          </w:tcPr>
          <w:p>
            <w:pPr>
              <w:pStyle w:val="TableContents"/>
              <w:bidi w:val="0"/>
              <w:spacing w:before="0" w:after="283"/>
              <w:jc w:val="left"/>
              <w:rPr/>
            </w:pPr>
            <w:hyperlink w:anchor="sa_041">
              <w:r>
                <w:rPr>
                  <w:rStyle w:val="InternetLink"/>
                  <w:rFonts w:ascii="Times New Roman;Times;Serif" w:hAnsi="Times New Roman;Times;Serif"/>
                  <w:sz w:val="20"/>
                </w:rPr>
                <w:t>DELIVERY OF DOCUMENTS TO STOCKHOLDERS SHARING AN ADDRESS</w:t>
              </w:r>
            </w:hyperlink>
            <w:r>
              <w:rPr/>
              <w:t xml:space="preserve"> </w:t>
            </w:r>
          </w:p>
        </w:tc>
        <w:tc>
          <w:tcPr>
            <w:tcW w:w="335" w:type="dxa"/>
            <w:tcBorders/>
            <w:shd w:fill="CCEEFF" w:val="clear"/>
            <w:vAlign w:val="center"/>
          </w:tcPr>
          <w:p>
            <w:pPr>
              <w:pStyle w:val="TableContents"/>
              <w:bidi w:val="0"/>
              <w:spacing w:before="0" w:after="283"/>
              <w:jc w:val="right"/>
              <w:rPr/>
            </w:pPr>
            <w:hyperlink w:anchor="sa_041">
              <w:r>
                <w:rPr>
                  <w:rStyle w:val="InternetLink"/>
                </w:rPr>
                <w:t>81</w:t>
              </w:r>
            </w:hyperlink>
            <w:r>
              <w:rPr/>
              <w:t xml:space="preserve"> </w:t>
            </w:r>
          </w:p>
        </w:tc>
      </w:tr>
      <w:tr>
        <w:trPr/>
        <w:tc>
          <w:tcPr>
            <w:tcW w:w="6560" w:type="dxa"/>
            <w:tcBorders/>
            <w:shd w:fill="FFFFFF" w:val="clear"/>
            <w:vAlign w:val="center"/>
          </w:tcPr>
          <w:p>
            <w:pPr>
              <w:pStyle w:val="TableContents"/>
              <w:bidi w:val="0"/>
              <w:spacing w:before="0" w:after="283"/>
              <w:jc w:val="left"/>
              <w:rPr/>
            </w:pPr>
            <w:hyperlink w:anchor="sa_042">
              <w:r>
                <w:rPr>
                  <w:rStyle w:val="InternetLink"/>
                  <w:rFonts w:ascii="Times New Roman;Times;Serif" w:hAnsi="Times New Roman;Times;Serif"/>
                  <w:sz w:val="20"/>
                </w:rPr>
                <w:t>WHERE YOU CAN FIND ADDITIONAL INFORMATION</w:t>
              </w:r>
            </w:hyperlink>
            <w:r>
              <w:rPr/>
              <w:t xml:space="preserve"> </w:t>
            </w:r>
          </w:p>
        </w:tc>
        <w:tc>
          <w:tcPr>
            <w:tcW w:w="335" w:type="dxa"/>
            <w:tcBorders/>
            <w:shd w:fill="FFFFFF" w:val="clear"/>
            <w:vAlign w:val="center"/>
          </w:tcPr>
          <w:p>
            <w:pPr>
              <w:pStyle w:val="TableContents"/>
              <w:bidi w:val="0"/>
              <w:spacing w:before="0" w:after="283"/>
              <w:jc w:val="right"/>
              <w:rPr/>
            </w:pPr>
            <w:hyperlink w:anchor="sa_042">
              <w:r>
                <w:rPr>
                  <w:rStyle w:val="InternetLink"/>
                </w:rPr>
                <w:t>81</w:t>
              </w:r>
            </w:hyperlink>
            <w:r>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920"/>
        <w:gridCol w:w="4010"/>
        <w:gridCol w:w="380"/>
      </w:tblGrid>
      <w:tr>
        <w:trPr/>
        <w:tc>
          <w:tcPr>
            <w:tcW w:w="920" w:type="dxa"/>
            <w:tcBorders/>
            <w:vAlign w:val="center"/>
          </w:tcPr>
          <w:p>
            <w:pPr>
              <w:pStyle w:val="TableContents"/>
              <w:bidi w:val="0"/>
              <w:spacing w:before="0" w:after="283"/>
              <w:jc w:val="both"/>
              <w:rPr/>
            </w:pPr>
            <w:hyperlink w:anchor="ANNEX_A">
              <w:r>
                <w:rPr>
                  <w:rStyle w:val="InternetLink"/>
                  <w:rFonts w:ascii="Times New Roman;Times;Serif" w:hAnsi="Times New Roman;Times;Serif"/>
                  <w:sz w:val="20"/>
                </w:rPr>
                <w:t>ANNEX A</w:t>
              </w:r>
            </w:hyperlink>
            <w:r>
              <w:rPr>
                <w:sz w:val="20"/>
              </w:rPr>
              <w:t xml:space="preserve"> </w:t>
            </w:r>
          </w:p>
        </w:tc>
        <w:tc>
          <w:tcPr>
            <w:tcW w:w="4010" w:type="dxa"/>
            <w:tcBorders/>
            <w:vAlign w:val="center"/>
          </w:tcPr>
          <w:p>
            <w:pPr>
              <w:pStyle w:val="TableContents"/>
              <w:bidi w:val="0"/>
              <w:spacing w:before="0" w:after="283"/>
              <w:jc w:val="both"/>
              <w:rPr/>
            </w:pPr>
            <w:hyperlink w:anchor="ANNEX_A">
              <w:r>
                <w:rPr>
                  <w:rStyle w:val="InternetLink"/>
                  <w:rFonts w:ascii="Times New Roman;Times;Serif" w:hAnsi="Times New Roman;Times;Serif"/>
                  <w:sz w:val="20"/>
                </w:rPr>
                <w:t>Purchase Agreement</w:t>
              </w:r>
            </w:hyperlink>
            <w:r>
              <w:rPr>
                <w:sz w:val="20"/>
              </w:rPr>
              <w:t xml:space="preserve"> </w:t>
            </w:r>
          </w:p>
        </w:tc>
        <w:tc>
          <w:tcPr>
            <w:tcW w:w="380" w:type="dxa"/>
            <w:tcBorders/>
            <w:vAlign w:val="center"/>
          </w:tcPr>
          <w:p>
            <w:pPr>
              <w:pStyle w:val="TableContents"/>
              <w:bidi w:val="0"/>
              <w:spacing w:before="0" w:after="283"/>
              <w:jc w:val="center"/>
              <w:rPr/>
            </w:pPr>
            <w:hyperlink w:anchor="ANNEX_A">
              <w:r>
                <w:rPr>
                  <w:rStyle w:val="InternetLink"/>
                  <w:rFonts w:ascii="Times New Roman;Times;Serif" w:hAnsi="Times New Roman;Times;Serif"/>
                  <w:sz w:val="20"/>
                </w:rPr>
                <w:t>A-1</w:t>
              </w:r>
            </w:hyperlink>
            <w:r>
              <w:rPr>
                <w:sz w:val="20"/>
              </w:rPr>
              <w:t xml:space="preserve"> </w:t>
            </w:r>
          </w:p>
        </w:tc>
      </w:tr>
      <w:tr>
        <w:trPr/>
        <w:tc>
          <w:tcPr>
            <w:tcW w:w="920" w:type="dxa"/>
            <w:tcBorders/>
            <w:vAlign w:val="center"/>
          </w:tcPr>
          <w:p>
            <w:pPr>
              <w:pStyle w:val="TableContents"/>
              <w:bidi w:val="0"/>
              <w:spacing w:before="0" w:after="283"/>
              <w:jc w:val="both"/>
              <w:rPr/>
            </w:pPr>
            <w:hyperlink w:anchor="annexb_005">
              <w:r>
                <w:rPr>
                  <w:rStyle w:val="InternetLink"/>
                  <w:rFonts w:ascii="Times New Roman;Times;Serif" w:hAnsi="Times New Roman;Times;Serif"/>
                  <w:sz w:val="20"/>
                </w:rPr>
                <w:t>ANNEX B</w:t>
              </w:r>
            </w:hyperlink>
            <w:r>
              <w:rPr>
                <w:sz w:val="20"/>
              </w:rPr>
              <w:t xml:space="preserve"> </w:t>
            </w:r>
          </w:p>
        </w:tc>
        <w:tc>
          <w:tcPr>
            <w:tcW w:w="4010" w:type="dxa"/>
            <w:tcBorders/>
            <w:vAlign w:val="center"/>
          </w:tcPr>
          <w:p>
            <w:pPr>
              <w:pStyle w:val="TableContents"/>
              <w:bidi w:val="0"/>
              <w:spacing w:before="0" w:after="283"/>
              <w:jc w:val="both"/>
              <w:rPr/>
            </w:pPr>
            <w:hyperlink w:anchor="annexb_005">
              <w:r>
                <w:rPr>
                  <w:rStyle w:val="InternetLink"/>
                  <w:sz w:val="20"/>
                </w:rPr>
                <w:t>Limited Guaranty</w:t>
              </w:r>
            </w:hyperlink>
            <w:r>
              <w:rPr>
                <w:sz w:val="20"/>
              </w:rPr>
              <w:t xml:space="preserve"> </w:t>
            </w:r>
          </w:p>
        </w:tc>
        <w:tc>
          <w:tcPr>
            <w:tcW w:w="380" w:type="dxa"/>
            <w:tcBorders/>
            <w:vAlign w:val="center"/>
          </w:tcPr>
          <w:p>
            <w:pPr>
              <w:pStyle w:val="TableContents"/>
              <w:bidi w:val="0"/>
              <w:spacing w:before="0" w:after="283"/>
              <w:jc w:val="center"/>
              <w:rPr/>
            </w:pPr>
            <w:hyperlink w:anchor="annexb_005">
              <w:r>
                <w:rPr>
                  <w:rStyle w:val="InternetLink"/>
                  <w:rFonts w:ascii="Times New Roman;Times;Serif" w:hAnsi="Times New Roman;Times;Serif"/>
                  <w:sz w:val="20"/>
                </w:rPr>
                <w:t>B</w:t>
              </w:r>
            </w:hyperlink>
            <w:hyperlink w:anchor="annexb_005">
              <w:r>
                <w:rPr>
                  <w:rStyle w:val="InternetLink"/>
                  <w:sz w:val="20"/>
                </w:rPr>
                <w:t>-1</w:t>
              </w:r>
            </w:hyperlink>
            <w:r>
              <w:rPr>
                <w:sz w:val="20"/>
              </w:rPr>
              <w:t xml:space="preserve"> </w:t>
            </w:r>
          </w:p>
        </w:tc>
      </w:tr>
      <w:tr>
        <w:trPr/>
        <w:tc>
          <w:tcPr>
            <w:tcW w:w="920" w:type="dxa"/>
            <w:tcBorders/>
            <w:vAlign w:val="center"/>
          </w:tcPr>
          <w:p>
            <w:pPr>
              <w:pStyle w:val="TableContents"/>
              <w:bidi w:val="0"/>
              <w:spacing w:before="0" w:after="283"/>
              <w:jc w:val="both"/>
              <w:rPr/>
            </w:pPr>
            <w:hyperlink w:anchor="annexb_006">
              <w:r>
                <w:rPr>
                  <w:rStyle w:val="InternetLink"/>
                  <w:rFonts w:ascii="Times New Roman;Times;Serif" w:hAnsi="Times New Roman;Times;Serif"/>
                  <w:sz w:val="20"/>
                </w:rPr>
                <w:t>ANNEX C</w:t>
              </w:r>
            </w:hyperlink>
            <w:r>
              <w:rPr>
                <w:sz w:val="20"/>
              </w:rPr>
              <w:t xml:space="preserve"> </w:t>
            </w:r>
          </w:p>
        </w:tc>
        <w:tc>
          <w:tcPr>
            <w:tcW w:w="4010" w:type="dxa"/>
            <w:tcBorders/>
            <w:vAlign w:val="center"/>
          </w:tcPr>
          <w:p>
            <w:pPr>
              <w:pStyle w:val="TableContents"/>
              <w:bidi w:val="0"/>
              <w:spacing w:before="0" w:after="283"/>
              <w:jc w:val="both"/>
              <w:rPr/>
            </w:pPr>
            <w:hyperlink w:anchor="annexb_006">
              <w:r>
                <w:rPr>
                  <w:rStyle w:val="InternetLink"/>
                  <w:rFonts w:ascii="Times New Roman;Times;Serif" w:hAnsi="Times New Roman;Times;Serif"/>
                  <w:sz w:val="20"/>
                </w:rPr>
                <w:t>Opinion of the Company’s Financial Advisor</w:t>
              </w:r>
            </w:hyperlink>
            <w:r>
              <w:rPr>
                <w:sz w:val="20"/>
              </w:rPr>
              <w:t xml:space="preserve"> </w:t>
            </w:r>
          </w:p>
        </w:tc>
        <w:tc>
          <w:tcPr>
            <w:tcW w:w="380" w:type="dxa"/>
            <w:tcBorders/>
            <w:vAlign w:val="center"/>
          </w:tcPr>
          <w:p>
            <w:pPr>
              <w:pStyle w:val="TableContents"/>
              <w:bidi w:val="0"/>
              <w:spacing w:before="0" w:after="283"/>
              <w:jc w:val="center"/>
              <w:rPr/>
            </w:pPr>
            <w:hyperlink w:anchor="annexb_006">
              <w:r>
                <w:rPr>
                  <w:rStyle w:val="InternetLink"/>
                  <w:rFonts w:ascii="Times New Roman;Times;Serif" w:hAnsi="Times New Roman;Times;Serif"/>
                  <w:sz w:val="20"/>
                </w:rPr>
                <w:t>C</w:t>
              </w:r>
            </w:hyperlink>
            <w:hyperlink w:anchor="annexb_006">
              <w:r>
                <w:rPr>
                  <w:rStyle w:val="InternetLink"/>
                  <w:sz w:val="20"/>
                </w:rPr>
                <w:t>-1</w:t>
              </w:r>
            </w:hyperlink>
            <w:r>
              <w:rPr>
                <w:sz w:val="20"/>
              </w:rPr>
              <w:t xml:space="preserve"> </w:t>
            </w:r>
          </w:p>
        </w:tc>
      </w:tr>
      <w:tr>
        <w:trPr/>
        <w:tc>
          <w:tcPr>
            <w:tcW w:w="920" w:type="dxa"/>
            <w:tcBorders/>
            <w:vAlign w:val="center"/>
          </w:tcPr>
          <w:p>
            <w:pPr>
              <w:pStyle w:val="TableContents"/>
              <w:bidi w:val="0"/>
              <w:spacing w:before="0" w:after="283"/>
              <w:jc w:val="both"/>
              <w:rPr/>
            </w:pPr>
            <w:hyperlink w:anchor="annexb_007">
              <w:r>
                <w:rPr>
                  <w:rStyle w:val="InternetLink"/>
                  <w:rFonts w:ascii="Times New Roman;Times;Serif" w:hAnsi="Times New Roman;Times;Serif"/>
                  <w:sz w:val="20"/>
                </w:rPr>
                <w:t>ANNEX D</w:t>
              </w:r>
            </w:hyperlink>
            <w:r>
              <w:rPr>
                <w:sz w:val="20"/>
              </w:rPr>
              <w:t xml:space="preserve"> </w:t>
            </w:r>
          </w:p>
        </w:tc>
        <w:tc>
          <w:tcPr>
            <w:tcW w:w="4010" w:type="dxa"/>
            <w:tcBorders/>
            <w:vAlign w:val="center"/>
          </w:tcPr>
          <w:p>
            <w:pPr>
              <w:pStyle w:val="TableContents"/>
              <w:bidi w:val="0"/>
              <w:spacing w:before="0" w:after="283"/>
              <w:jc w:val="both"/>
              <w:rPr/>
            </w:pPr>
            <w:hyperlink w:anchor="annexb_007">
              <w:r>
                <w:rPr>
                  <w:rStyle w:val="InternetLink"/>
                  <w:rFonts w:ascii="Times New Roman;Times;Serif" w:hAnsi="Times New Roman;Times;Serif"/>
                  <w:sz w:val="20"/>
                </w:rPr>
                <w:t>Historical Financial Statements</w:t>
              </w:r>
            </w:hyperlink>
            <w:r>
              <w:rPr>
                <w:sz w:val="20"/>
              </w:rPr>
              <w:t xml:space="preserve"> </w:t>
            </w:r>
          </w:p>
        </w:tc>
        <w:tc>
          <w:tcPr>
            <w:tcW w:w="380" w:type="dxa"/>
            <w:tcBorders/>
            <w:vAlign w:val="center"/>
          </w:tcPr>
          <w:p>
            <w:pPr>
              <w:pStyle w:val="TableContents"/>
              <w:bidi w:val="0"/>
              <w:spacing w:before="0" w:after="283"/>
              <w:jc w:val="center"/>
              <w:rPr/>
            </w:pPr>
            <w:hyperlink w:anchor="annexb_007">
              <w:r>
                <w:rPr>
                  <w:rStyle w:val="InternetLink"/>
                  <w:rFonts w:ascii="Times New Roman;Times;Serif" w:hAnsi="Times New Roman;Times;Serif"/>
                  <w:sz w:val="20"/>
                </w:rPr>
                <w:t>D</w:t>
              </w:r>
            </w:hyperlink>
            <w:hyperlink w:anchor="annexb_007">
              <w:r>
                <w:rPr>
                  <w:rStyle w:val="InternetLink"/>
                  <w:sz w:val="20"/>
                </w:rPr>
                <w:t>-1</w:t>
              </w:r>
            </w:hyperlink>
            <w:r>
              <w:rPr>
                <w:sz w:val="20"/>
              </w:rPr>
              <w:t xml:space="preserve"> </w:t>
            </w:r>
          </w:p>
        </w:tc>
      </w:tr>
      <w:tr>
        <w:trPr/>
        <w:tc>
          <w:tcPr>
            <w:tcW w:w="920" w:type="dxa"/>
            <w:tcBorders/>
            <w:vAlign w:val="center"/>
          </w:tcPr>
          <w:p>
            <w:pPr>
              <w:pStyle w:val="TableContents"/>
              <w:bidi w:val="0"/>
              <w:spacing w:before="0" w:after="283"/>
              <w:jc w:val="both"/>
              <w:rPr/>
            </w:pPr>
            <w:hyperlink w:anchor="annexe_009">
              <w:r>
                <w:rPr>
                  <w:rStyle w:val="InternetLink"/>
                  <w:rFonts w:ascii="Times New Roman;Times;Serif" w:hAnsi="Times New Roman;Times;Serif"/>
                  <w:sz w:val="20"/>
                </w:rPr>
                <w:t>ANNEX E</w:t>
              </w:r>
            </w:hyperlink>
            <w:r>
              <w:rPr>
                <w:sz w:val="20"/>
              </w:rPr>
              <w:t xml:space="preserve"> </w:t>
            </w:r>
          </w:p>
        </w:tc>
        <w:tc>
          <w:tcPr>
            <w:tcW w:w="4010" w:type="dxa"/>
            <w:tcBorders/>
            <w:vAlign w:val="center"/>
          </w:tcPr>
          <w:p>
            <w:pPr>
              <w:pStyle w:val="TableContents"/>
              <w:bidi w:val="0"/>
              <w:spacing w:before="0" w:after="283"/>
              <w:jc w:val="both"/>
              <w:rPr/>
            </w:pPr>
            <w:hyperlink w:anchor="annexe_009">
              <w:r>
                <w:rPr>
                  <w:rStyle w:val="InternetLink"/>
                  <w:rFonts w:ascii="Times New Roman;Times;Serif" w:hAnsi="Times New Roman;Times;Serif"/>
                  <w:sz w:val="20"/>
                </w:rPr>
                <w:t>Form of Proxy Card</w:t>
              </w:r>
            </w:hyperlink>
            <w:r>
              <w:rPr>
                <w:sz w:val="20"/>
              </w:rPr>
              <w:t xml:space="preserve"> </w:t>
            </w:r>
          </w:p>
        </w:tc>
        <w:tc>
          <w:tcPr>
            <w:tcW w:w="380" w:type="dxa"/>
            <w:tcBorders/>
            <w:vAlign w:val="center"/>
          </w:tcPr>
          <w:p>
            <w:pPr>
              <w:pStyle w:val="TableContents"/>
              <w:bidi w:val="0"/>
              <w:spacing w:before="0" w:after="283"/>
              <w:jc w:val="center"/>
              <w:rPr/>
            </w:pPr>
            <w:hyperlink w:anchor="annexe_009">
              <w:r>
                <w:rPr>
                  <w:rStyle w:val="InternetLink"/>
                  <w:rFonts w:ascii="Times New Roman;Times;Serif" w:hAnsi="Times New Roman;Times;Serif"/>
                  <w:sz w:val="20"/>
                </w:rPr>
                <w:t>E-1</w:t>
              </w:r>
            </w:hyperlink>
            <w:r>
              <w:rPr>
                <w:sz w:val="20"/>
              </w:rPr>
              <w:t xml:space="preserve"> </w:t>
            </w:r>
          </w:p>
        </w:tc>
      </w:tr>
      <w:tr>
        <w:trPr/>
        <w:tc>
          <w:tcPr>
            <w:tcW w:w="920" w:type="dxa"/>
            <w:tcBorders/>
            <w:vAlign w:val="center"/>
          </w:tcPr>
          <w:p>
            <w:pPr>
              <w:pStyle w:val="TableContents"/>
              <w:bidi w:val="0"/>
              <w:spacing w:before="0" w:after="283"/>
              <w:jc w:val="both"/>
              <w:rPr/>
            </w:pPr>
            <w:hyperlink w:anchor="anef_001">
              <w:r>
                <w:rPr>
                  <w:rStyle w:val="InternetLink"/>
                  <w:sz w:val="20"/>
                </w:rPr>
                <w:t xml:space="preserve">ANNEX F </w:t>
              </w:r>
            </w:hyperlink>
          </w:p>
        </w:tc>
        <w:tc>
          <w:tcPr>
            <w:tcW w:w="4010" w:type="dxa"/>
            <w:tcBorders/>
            <w:vAlign w:val="center"/>
          </w:tcPr>
          <w:p>
            <w:pPr>
              <w:pStyle w:val="TableContents"/>
              <w:bidi w:val="0"/>
              <w:spacing w:before="0" w:after="283"/>
              <w:jc w:val="both"/>
              <w:rPr/>
            </w:pPr>
            <w:hyperlink w:anchor="anef_001">
              <w:r>
                <w:rPr>
                  <w:rStyle w:val="InternetLink"/>
                  <w:sz w:val="20"/>
                </w:rPr>
                <w:t xml:space="preserve">2020 Equity Incentive Plan </w:t>
              </w:r>
            </w:hyperlink>
          </w:p>
        </w:tc>
        <w:tc>
          <w:tcPr>
            <w:tcW w:w="380" w:type="dxa"/>
            <w:tcBorders/>
            <w:vAlign w:val="center"/>
          </w:tcPr>
          <w:p>
            <w:pPr>
              <w:pStyle w:val="TableContents"/>
              <w:bidi w:val="0"/>
              <w:spacing w:before="0" w:after="283"/>
              <w:jc w:val="center"/>
              <w:rPr/>
            </w:pPr>
            <w:hyperlink w:anchor="anef_001">
              <w:r>
                <w:rPr>
                  <w:rStyle w:val="InternetLink"/>
                  <w:sz w:val="20"/>
                </w:rPr>
                <w:t xml:space="preserve">F-1 </w:t>
              </w:r>
            </w:hyperlink>
          </w:p>
        </w:tc>
      </w:tr>
      <w:tr>
        <w:trPr/>
        <w:tc>
          <w:tcPr>
            <w:tcW w:w="920" w:type="dxa"/>
            <w:tcBorders/>
            <w:vAlign w:val="center"/>
          </w:tcPr>
          <w:p>
            <w:pPr>
              <w:pStyle w:val="TableContents"/>
              <w:bidi w:val="0"/>
              <w:spacing w:before="0" w:after="283"/>
              <w:jc w:val="both"/>
              <w:rPr/>
            </w:pPr>
            <w:hyperlink w:anchor="aneg_002">
              <w:r>
                <w:rPr>
                  <w:rStyle w:val="InternetLink"/>
                  <w:sz w:val="20"/>
                </w:rPr>
                <w:t xml:space="preserve">ANNEX G </w:t>
              </w:r>
            </w:hyperlink>
          </w:p>
        </w:tc>
        <w:tc>
          <w:tcPr>
            <w:tcW w:w="4010" w:type="dxa"/>
            <w:tcBorders/>
            <w:vAlign w:val="center"/>
          </w:tcPr>
          <w:p>
            <w:pPr>
              <w:pStyle w:val="TableContents"/>
              <w:bidi w:val="0"/>
              <w:spacing w:before="0" w:after="283"/>
              <w:jc w:val="both"/>
              <w:rPr/>
            </w:pPr>
            <w:hyperlink w:anchor="aneg_002">
              <w:r>
                <w:rPr>
                  <w:rStyle w:val="InternetLink"/>
                  <w:sz w:val="20"/>
                </w:rPr>
                <w:t xml:space="preserve">Form of 2020 Equity Incentive Plan Amendment </w:t>
              </w:r>
            </w:hyperlink>
          </w:p>
        </w:tc>
        <w:tc>
          <w:tcPr>
            <w:tcW w:w="380" w:type="dxa"/>
            <w:tcBorders/>
            <w:vAlign w:val="center"/>
          </w:tcPr>
          <w:p>
            <w:pPr>
              <w:pStyle w:val="TableContents"/>
              <w:bidi w:val="0"/>
              <w:spacing w:before="0" w:after="283"/>
              <w:jc w:val="center"/>
              <w:rPr/>
            </w:pPr>
            <w:hyperlink w:anchor="aneg_002">
              <w:r>
                <w:rPr>
                  <w:rStyle w:val="InternetLink"/>
                  <w:sz w:val="20"/>
                </w:rPr>
                <w:t xml:space="preserve">G-1 </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Proxy Statement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To be Held on OCTOBER 28,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selected information contained in this proxy statement (this “</w:t>
      </w:r>
      <w:r>
        <w:rPr>
          <w:rFonts w:ascii="Times New Roman;Times;Serif" w:hAnsi="Times New Roman;Times;Serif"/>
          <w:b/>
          <w:i/>
          <w:caps w:val="false"/>
          <w:smallCaps w:val="false"/>
          <w:sz w:val="20"/>
        </w:rPr>
        <w:t>Proxy Statement</w:t>
      </w:r>
      <w:r>
        <w:rPr>
          <w:rFonts w:ascii="Times New Roman;Times;Serif" w:hAnsi="Times New Roman;Times;Serif"/>
          <w:b w:val="false"/>
          <w:i/>
          <w:caps w:val="false"/>
          <w:smallCaps w:val="false"/>
          <w:sz w:val="20"/>
        </w:rPr>
        <w:t>”) and may not contain all the information that is important to you. For a more complete description of the Sale (as defined herein) contemplated by the Purchase Agreement, dated as of July 6, 2026 (as it may be amended from time to time, the “</w:t>
      </w:r>
      <w:r>
        <w:rPr>
          <w:rFonts w:ascii="Times New Roman;Times;Serif" w:hAnsi="Times New Roman;Times;Serif"/>
          <w:b/>
          <w:i/>
          <w:caps w:val="false"/>
          <w:smallCaps w:val="false"/>
          <w:sz w:val="20"/>
        </w:rPr>
        <w:t>Purchase Agreement</w:t>
      </w:r>
      <w:r>
        <w:rPr>
          <w:rFonts w:ascii="Times New Roman;Times;Serif" w:hAnsi="Times New Roman;Times;Serif"/>
          <w:b w:val="false"/>
          <w:i/>
          <w:caps w:val="false"/>
          <w:smallCaps w:val="false"/>
          <w:sz w:val="20"/>
        </w:rPr>
        <w:t>”), by and among XWELL,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XWELL</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us</w:t>
      </w:r>
      <w:r>
        <w:rPr>
          <w:rFonts w:ascii="Times New Roman;Times;Serif" w:hAnsi="Times New Roman;Times;Serif"/>
          <w:b w:val="false"/>
          <w:i/>
          <w:caps w:val="false"/>
          <w:smallCaps w:val="false"/>
          <w:sz w:val="20"/>
        </w:rPr>
        <w:t>”, or “</w:t>
      </w:r>
      <w:r>
        <w:rPr>
          <w:rFonts w:ascii="Times New Roman;Times;Serif" w:hAnsi="Times New Roman;Times;Serif"/>
          <w:b/>
          <w:i/>
          <w:caps w:val="false"/>
          <w:smallCaps w:val="false"/>
          <w:sz w:val="20"/>
        </w:rPr>
        <w:t>our</w:t>
      </w:r>
      <w:r>
        <w:rPr>
          <w:rFonts w:ascii="Times New Roman;Times;Serif" w:hAnsi="Times New Roman;Times;Serif"/>
          <w:b w:val="false"/>
          <w:i/>
          <w:caps w:val="false"/>
          <w:smallCaps w:val="false"/>
          <w:sz w:val="20"/>
        </w:rPr>
        <w:t>”), XpresSpa Holdings, LLC, a Delaware limited liability company (“</w:t>
      </w:r>
      <w:r>
        <w:rPr>
          <w:rFonts w:ascii="Times New Roman;Times;Serif" w:hAnsi="Times New Roman;Times;Serif"/>
          <w:b/>
          <w:i/>
          <w:caps w:val="false"/>
          <w:smallCaps w:val="false"/>
          <w:sz w:val="20"/>
        </w:rPr>
        <w:t>XpresSpa</w:t>
      </w:r>
      <w:r>
        <w:rPr>
          <w:rFonts w:ascii="Times New Roman;Times;Serif" w:hAnsi="Times New Roman;Times;Serif"/>
          <w:b w:val="false"/>
          <w:i/>
          <w:caps w:val="false"/>
          <w:smallCaps w:val="false"/>
          <w:sz w:val="20"/>
        </w:rPr>
        <w:t>”), XpresTest, Inc., a Delaware corporation (“</w:t>
      </w:r>
      <w:r>
        <w:rPr>
          <w:rFonts w:ascii="Times New Roman;Times;Serif" w:hAnsi="Times New Roman;Times;Serif"/>
          <w:b/>
          <w:i/>
          <w:caps w:val="false"/>
          <w:smallCaps w:val="false"/>
          <w:sz w:val="20"/>
        </w:rPr>
        <w:t>XpresTest</w:t>
      </w:r>
      <w:r>
        <w:rPr>
          <w:rFonts w:ascii="Times New Roman;Times;Serif" w:hAnsi="Times New Roman;Times;Serif"/>
          <w:b w:val="false"/>
          <w:i/>
          <w:caps w:val="false"/>
          <w:smallCaps w:val="false"/>
          <w:sz w:val="20"/>
        </w:rPr>
        <w:t>” and, together with XpresSpa Holdings, the “</w:t>
      </w:r>
      <w:r>
        <w:rPr>
          <w:rFonts w:ascii="Times New Roman;Times;Serif" w:hAnsi="Times New Roman;Times;Serif"/>
          <w:b/>
          <w:i/>
          <w:caps w:val="false"/>
          <w:smallCaps w:val="false"/>
          <w:sz w:val="20"/>
        </w:rPr>
        <w:t>Divestiture Companies</w:t>
      </w:r>
      <w:r>
        <w:rPr>
          <w:rFonts w:ascii="Times New Roman;Times;Serif" w:hAnsi="Times New Roman;Times;Serif"/>
          <w:b w:val="false"/>
          <w:i/>
          <w:caps w:val="false"/>
          <w:smallCaps w:val="false"/>
          <w:sz w:val="20"/>
        </w:rPr>
        <w:t>”), and Express Wellness Group, LLC, a Delaware limited liability company (the “</w:t>
      </w:r>
      <w:r>
        <w:rPr>
          <w:rFonts w:ascii="Times New Roman;Times;Serif" w:hAnsi="Times New Roman;Times;Serif"/>
          <w:b/>
          <w:i/>
          <w:caps w:val="false"/>
          <w:smallCaps w:val="false"/>
          <w:sz w:val="20"/>
        </w:rPr>
        <w:t>Buyer</w:t>
      </w:r>
      <w:r>
        <w:rPr>
          <w:rFonts w:ascii="Times New Roman;Times;Serif" w:hAnsi="Times New Roman;Times;Serif"/>
          <w:b w:val="false"/>
          <w:i/>
          <w:caps w:val="false"/>
          <w:smallCaps w:val="false"/>
          <w:sz w:val="20"/>
        </w:rPr>
        <w:t>”), you should carefully read this entire Proxy Statement, the annexes attached to this Proxy Statement. Any document or agreement summarized or referred to in this Proxy Statement is qualified in its entirety by reference to the full text of such document or agreement insofar as such document is attached as an annex hereto. All references in this Proxy Statement to terms defined in the notice to which this Proxy Statement is attached, and which are not otherwise defined in this Proxy Statement, have the respective meanings provided in that notice. All references to capitalized terms not defined herein or in the notice to which this Proxy Statement is attached have the respective meanings ascribed to them in the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to the Sale (see page 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global wellness company operating multiple brands and focused on bringing restorative, regenerative and reinvigorating products and services to travelers. The Company’s XpresSpa® segment operates a network of retail spa locations in airports, offering travelers premium spa services including massage, nail and skin care, as well as spa and travel products (the “</w:t>
      </w:r>
      <w:r>
        <w:rPr>
          <w:rFonts w:ascii="Times New Roman;Times;Serif" w:hAnsi="Times New Roman;Times;Serif"/>
          <w:b/>
          <w:i w:val="false"/>
          <w:caps w:val="false"/>
          <w:smallCaps w:val="false"/>
          <w:sz w:val="20"/>
        </w:rPr>
        <w:t>XpresSpa Airport Business</w:t>
      </w:r>
      <w:r>
        <w:rPr>
          <w:rFonts w:ascii="Times New Roman;Times;Serif" w:hAnsi="Times New Roman;Times;Serif"/>
          <w:b w:val="false"/>
          <w:i w:val="false"/>
          <w:caps w:val="false"/>
          <w:smallCaps w:val="false"/>
          <w:sz w:val="20"/>
        </w:rPr>
        <w:t>”). The Company’s XpresTest® segment conducts bio surveillance monitoring, including aircraft wastewater sampling and passenger nasal sampling, and multi-pathogen testing across collection locations at airports (the “</w:t>
      </w:r>
      <w:r>
        <w:rPr>
          <w:rFonts w:ascii="Times New Roman;Times;Serif" w:hAnsi="Times New Roman;Times;Serif"/>
          <w:b/>
          <w:i w:val="false"/>
          <w:caps w:val="false"/>
          <w:smallCaps w:val="false"/>
          <w:sz w:val="20"/>
        </w:rPr>
        <w:t>XpresTest Business</w:t>
      </w:r>
      <w:r>
        <w:rPr>
          <w:rFonts w:ascii="Times New Roman;Times;Serif" w:hAnsi="Times New Roman;Times;Serif"/>
          <w:b w:val="false"/>
          <w:i w:val="false"/>
          <w:caps w:val="false"/>
          <w:smallCaps w:val="false"/>
          <w:sz w:val="20"/>
        </w:rPr>
        <w:t>”). The Company also operates certain health and wellness retail locations outside of airports (the “</w:t>
      </w:r>
      <w:r>
        <w:rPr>
          <w:rFonts w:ascii="Times New Roman;Times;Serif" w:hAnsi="Times New Roman;Times;Serif"/>
          <w:b/>
          <w:i w:val="false"/>
          <w:caps w:val="false"/>
          <w:smallCaps w:val="false"/>
          <w:sz w:val="20"/>
        </w:rPr>
        <w:t>Retained Ex-Airport Business</w:t>
      </w:r>
      <w:r>
        <w:rPr>
          <w:rFonts w:ascii="Times New Roman;Times;Serif" w:hAnsi="Times New Roman;Times;Serif"/>
          <w:b w:val="false"/>
          <w:i w:val="false"/>
          <w:caps w:val="false"/>
          <w:smallCaps w:val="false"/>
          <w:sz w:val="20"/>
        </w:rPr>
        <w:t>”), which are not included in the Sale and will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trade on the Nasdaq Capital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trading symbol “XWEL”. The Company’s principal executive offices are located at 254 West 31st Street, 11th Floor, New York, New York 10001, and our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 is contained in our filings with the SEC, copies of which may be obtained without charge by following the instructions in the section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operates the Company’s XpresSpa Airport Business, with retail locations across the United States, the Netherlands, Turkey, and the United Arab Emirates (Dubai and Abu Dhabi).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XpresSpa. Following completion of the Sale, XpresSpa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XpresSpa’s principal executive offices are located at 254 West 31st Street, 11th Floor, New York, New York 10001, and XpresSpa’s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XpresTest, operates the Company’s XpresTest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XpresTest. Following completion of the Sale, XpresTest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XpresTest’s principal executive offices are located at 254 West 31st Street, 11th Floor, New York, New York 10001, and XpresTest’s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 Wellness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 was formed as a wholly owned subsidiary of Face Haus, LLC. Face Haus, LLC is a leading skincare service company that operates retail locations in Texas and California and provides wellness offerings in several airport lounges across the U.S. The company also distributes and sells a full assortment of skincare products under the Face Haus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LLC’s principal executive offices are located at 3907 Medical Parkway, Suite 101, Austin, Texas 78756.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Sale (see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the Divestiture Companies, and the Buyer entered into the Purchase Agreement. Upon the terms and subject to the satisfaction or waiver of the conditions of the Purchase Agreement, we will sell, assign, transfer and convey to the Buyer all of XWELL’s equity interests in the Divestiture Companies (collectively, the “</w:t>
      </w:r>
      <w:r>
        <w:rPr>
          <w:rFonts w:ascii="Times New Roman;Times;Serif" w:hAnsi="Times New Roman;Times;Serif"/>
          <w:b/>
          <w:i w:val="false"/>
          <w:caps w:val="false"/>
          <w:smallCaps w:val="false"/>
          <w:sz w:val="20"/>
        </w:rPr>
        <w:t>Purchased Equity</w:t>
      </w:r>
      <w:r>
        <w:rPr>
          <w:rFonts w:ascii="Times New Roman;Times;Serif" w:hAnsi="Times New Roman;Times;Serif"/>
          <w:b w:val="false"/>
          <w:i w:val="false"/>
          <w:caps w:val="false"/>
          <w:smallCaps w:val="false"/>
          <w:sz w:val="20"/>
        </w:rPr>
        <w:t>”), as contemplated by and more fully described in the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the Buyer will pay XWELL a base purchase price of $13,000,000, subject to customary adjustments for net working capital, closing indebtedness, sale expenses and closing cash (as adjusted,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At the closing of the Sale, a portion of the Purchase Price, equal to $2,650,000 in the aggregate, will be deposited into escrow accounts to secure certain of XWELL’s post-closing obligations with respect to any purchase price adjustments or 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XpresTest repurchased all outstanding restricted stock awards granted by XpresTest (the “</w:t>
      </w:r>
      <w:r>
        <w:rPr>
          <w:rFonts w:ascii="Times New Roman;Times;Serif" w:hAnsi="Times New Roman;Times;Serif"/>
          <w:b/>
          <w:i w:val="false"/>
          <w:caps w:val="false"/>
          <w:smallCaps w:val="false"/>
          <w:sz w:val="20"/>
        </w:rPr>
        <w:t>XpresTest RSAs</w:t>
      </w:r>
      <w:r>
        <w:rPr>
          <w:rFonts w:ascii="Times New Roman;Times;Serif" w:hAnsi="Times New Roman;Times;Serif"/>
          <w:b w:val="false"/>
          <w:i w:val="false"/>
          <w:caps w:val="false"/>
          <w:smallCaps w:val="false"/>
          <w:sz w:val="20"/>
        </w:rPr>
        <w:t>”) for an aggregate cash payment of approximately $2.7 million, or $9,634.09 per share (collectively, the “</w:t>
      </w:r>
      <w:r>
        <w:rPr>
          <w:rFonts w:ascii="Times New Roman;Times;Serif" w:hAnsi="Times New Roman;Times;Serif"/>
          <w:b/>
          <w:i w:val="false"/>
          <w:caps w:val="false"/>
          <w:smallCaps w:val="false"/>
          <w:sz w:val="20"/>
        </w:rPr>
        <w:t>XpresTest RSA Repurchases</w:t>
      </w:r>
      <w:r>
        <w:rPr>
          <w:rFonts w:ascii="Times New Roman;Times;Serif" w:hAnsi="Times New Roman;Times;Serif"/>
          <w:b w:val="false"/>
          <w:i w:val="false"/>
          <w:caps w:val="false"/>
          <w:smallCaps w:val="false"/>
          <w:sz w:val="20"/>
        </w:rPr>
        <w:t xml:space="preserve">”). In connection with the XpresTest RSA Repurchases, any XpresTest RSAs that had not previously vested became fully vested. After giving effect to the XpresTest RSA Repurchases, no XpresTest RSAs remain outstanding, and XWELL now owns all of the issued and outstanding shares of capital stock of XpresTest.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these XpresTest RSAs would have become fully vested and been repurchased by XpresTest for an amount in cash equal to (i) the number of shares of XpresTest common stock underlying such XpresTest RSA multiplied by (ii) a per-share price to be mutually agreed by the Buyer and XWELL based on a valuation of XpresTest. The $9,634.09 per share price paid in the XpresTest RSA Repurchases (the “</w:t>
      </w:r>
      <w:r>
        <w:rPr>
          <w:rFonts w:ascii="Times New Roman;Times;Serif" w:hAnsi="Times New Roman;Times;Serif"/>
          <w:b/>
          <w:i w:val="false"/>
          <w:caps w:val="false"/>
          <w:smallCaps w:val="false"/>
          <w:sz w:val="20"/>
        </w:rPr>
        <w:t>XpresTest RSA Repurchase Price</w:t>
      </w:r>
      <w:r>
        <w:rPr>
          <w:rFonts w:ascii="Times New Roman;Times;Serif" w:hAnsi="Times New Roman;Times;Serif"/>
          <w:b w:val="false"/>
          <w:i w:val="false"/>
          <w:caps w:val="false"/>
          <w:smallCaps w:val="false"/>
          <w:sz w:val="20"/>
        </w:rPr>
        <w:t xml:space="preserve">”) is the same price the Buyer and XWELL had agreed would apply to the XpresTest RSAs at closing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XpresTest RSA Repurchases were completed early with the consent of the Buyer and have the effect of simplifying XpresTest’s capitalization in preparation for the Sale. Under the terms of the Purchase Agreement, all amounts payable in respect of the repurchased XpresTest RSAs would have constituted XWELL sale expenses, which would have reduced dollar-for-dollar the purchase price payable by the Buyer to XWELL. Because these amounts have now already been paid in full, they will not be included in the calculation of XWELL’s unpaid sale expenses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Pre-Closing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Sale, XWELL will effectuate certain transactions necessary to ensure that all assets used in the XpresSpa Airport Business and XpresTest Business will be held by the Divestiture Companies or their subsidiaries (collectively, the “</w:t>
      </w:r>
      <w:r>
        <w:rPr>
          <w:rFonts w:ascii="Times New Roman;Times;Serif" w:hAnsi="Times New Roman;Times;Serif"/>
          <w:b/>
          <w:i w:val="false"/>
          <w:caps w:val="false"/>
          <w:smallCaps w:val="false"/>
          <w:sz w:val="20"/>
        </w:rPr>
        <w:t>Divestiture Group</w:t>
      </w:r>
      <w:r>
        <w:rPr>
          <w:rFonts w:ascii="Times New Roman;Times;Serif" w:hAnsi="Times New Roman;Times;Serif"/>
          <w:b w:val="false"/>
          <w:i w:val="false"/>
          <w:caps w:val="false"/>
          <w:smallCaps w:val="false"/>
          <w:sz w:val="20"/>
        </w:rPr>
        <w:t>”) as of the closing, and that assets that are out of scope of the Sale are transferred out of the Divestiture Group (collectively, the “</w:t>
      </w:r>
      <w:r>
        <w:rPr>
          <w:rFonts w:ascii="Times New Roman;Times;Serif" w:hAnsi="Times New Roman;Times;Serif"/>
          <w:b/>
          <w:i w:val="false"/>
          <w:caps w:val="false"/>
          <w:smallCaps w:val="false"/>
          <w:sz w:val="20"/>
        </w:rPr>
        <w:t>Pre-Closing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XpresTest is classified as a C corporation and a member of the consolidated group of which the Company is the common parent, and (b) XpresSpa is classified as an entity disregarded as separate from the Company. Pursuant to the Purchase Agreement, the Company and the Buyer will make a joint election under Section 336(e) of the U.S. Internal Revenue Code of 1986, as amended (the “Code”) to treat the sale of the Purchased Equity with respect to XpresTest (and any eligible corporate subsidiaries of XpresSpa) as an asset sale. The sale of the Purchased Equity with respect to XpresSpa will also be treated as an asset sale due to XpresSpa’s status as a disregarded entity. Accordingly, the Sale will be treated for tax purposes as the sale of all of the assets of the Target Companies (and the assets of any subsidiaries that are disregarded entities), including any equity interests in subsidiaries that are not wholly-owned or that are foreign corporations for U.S. tax purposes. The Sale will not be directly taxable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 of the Purchase Agreement (see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key terms of the Purchase Agreement. This summary is qualified in its entirety by reference to the complete text of the Purchase Agreement, a copy of which is attached as Annex A to this Proxy Statement, and you are encouraged to read the Purchase Agreement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Potential Adjustments to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five business days prior to the closing, XWELL will deliver to Buyer a statement setting forth its good faith estimate of the purchase price (the “</w:t>
      </w:r>
      <w:r>
        <w:rPr>
          <w:rFonts w:ascii="Times New Roman;Times;Serif" w:hAnsi="Times New Roman;Times;Serif"/>
          <w:b/>
          <w:i w:val="false"/>
          <w:caps w:val="false"/>
          <w:smallCaps w:val="false"/>
          <w:sz w:val="20"/>
        </w:rPr>
        <w:t>Estimated Purchase Price</w:t>
      </w:r>
      <w:r>
        <w:rPr>
          <w:rFonts w:ascii="Times New Roman;Times;Serif" w:hAnsi="Times New Roman;Times;Serif"/>
          <w:b w:val="false"/>
          <w:i w:val="false"/>
          <w:caps w:val="false"/>
          <w:smallCaps w:val="false"/>
          <w:sz w:val="20"/>
        </w:rPr>
        <w:t xml:space="preserve">”), together with supporting schedules showing XWELL’s estimates of the Divestiture Group’s closing net working capital, closing indebtedness, closing cash, and unpaid sale expenses as of the closing (in each case, in accordance with the applicable definitions set forth in the Purchase Agreement). Under the terms of the Purchase Agreement, XWELL’s sale expenses would have been deemed to include, among other things, all amounts payable in respect of the repurchased XpresTest RSAs. However, because these amounts have now already been paid in full pursuant to the XpresTest RSA Repurchases, they will not be included in the calculation of XWELL’s unpaid sale expenses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Purchase Price will be equal to (i) $13,000,000 (the “</w:t>
      </w:r>
      <w:r>
        <w:rPr>
          <w:rFonts w:ascii="Times New Roman;Times;Serif" w:hAnsi="Times New Roman;Times;Serif"/>
          <w:b/>
          <w:i w:val="false"/>
          <w:caps w:val="false"/>
          <w:smallCaps w:val="false"/>
          <w:sz w:val="20"/>
        </w:rPr>
        <w:t>Base Purchase Price</w:t>
      </w:r>
      <w:r>
        <w:rPr>
          <w:rFonts w:ascii="Times New Roman;Times;Serif" w:hAnsi="Times New Roman;Times;Serif"/>
          <w:b w:val="false"/>
          <w:i w:val="false"/>
          <w:caps w:val="false"/>
          <w:smallCaps w:val="false"/>
          <w:sz w:val="20"/>
        </w:rPr>
        <w:t>”), plus or minus (ii) the extent to which the Divestiture Group’s estimated closing net working capital is greater or less than a target net working capital amount, minus (iii) the amount of the Divestiture Group’s estimated closing indebtedness, minus (iv) unpaid sale expenses, plus (v) the amount of the Divestiture Group’s estimated closing cash. The target net working capital amount is $1,472,000, and the net working capital adjustment is subject to a $150,000 tipping collar.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amount that the Buyer will be required to pay in respect of cash held in U.S. bank accounts is $2,000,000, and the maximum amount that the Buyer will be required to pay in respect of cash held in international bank accounts is $550,000. XWELL expects that, prior to closing of the Sale, any excess cash above such thresholds will be swept out of the Divestiture Group and retained by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Buyer will pay to XWELL the Estimated Purchase Price, less amounts deposited into escrow, as follows: (i) $750,000 will be deposited into an adjustment escrow account to fund any post-closing downward adjustment to the purchase price; (ii) $1,650,000 will be deposited into an indemnity escrow account to fund potential post-closing indemnification claims; and (iii) $250,000 will be deposited into a separate escrow account relating to a final arbitration award issued on June 3, 2026 with respect to the dispute between XpresSpa Holdings, LLC and Cordial Endeavor Concessions of Atlanta LLC and Sheila Trappier Edwards. Amounts owed in respect of the Divestiture Group’s closing indebtedness and unpaid sale expenses will be paid directly to the applicable payees at closing, and the balance of the Estimated Purchase Price will be paid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Buyer will prepare and deliver to XWELL a statement setting forth its proposed calculation of the final purchase price, based on the actual closing net working capital, closing indebtedness, closing cash and sale expenses of the Divestiture Group (the “</w:t>
      </w:r>
      <w:r>
        <w:rPr>
          <w:rFonts w:ascii="Times New Roman;Times;Serif" w:hAnsi="Times New Roman;Times;Serif"/>
          <w:b/>
          <w:i w:val="false"/>
          <w:caps w:val="false"/>
          <w:smallCaps w:val="false"/>
          <w:sz w:val="20"/>
        </w:rPr>
        <w:t>Final Statement of Purchase Price</w:t>
      </w:r>
      <w:r>
        <w:rPr>
          <w:rFonts w:ascii="Times New Roman;Times;Serif" w:hAnsi="Times New Roman;Times;Serif"/>
          <w:b w:val="false"/>
          <w:i w:val="false"/>
          <w:caps w:val="false"/>
          <w:smallCaps w:val="false"/>
          <w:sz w:val="20"/>
        </w:rPr>
        <w:t>”). XWELL will have the right to dispute the Buyer’s proposed calculation, and if XWELL and the Buyer are unable to resolve any such dispute, the disputed items will be submitted to a neutral accounting firm for final and binding resolution. If the final purchase price, as so determined, is greater than the Estimated Purchase Price, then the Buyer will pay XWELL the shortfall, and the adjustment escrow funds will be released to XWELL; if the final purchase price is less than the Estimated Purchase Price, XWELL will be required to pay Buyer the difference, which will be satisfied first out of the adjustment escrow funds. For more information, see the subsection titled “</w:t>
      </w:r>
      <w:r>
        <w:rPr>
          <w:rFonts w:ascii="Times New Roman;Times;Serif" w:hAnsi="Times New Roman;Times;Serif"/>
          <w:b w:val="false"/>
          <w:i/>
          <w:caps w:val="false"/>
          <w:smallCaps w:val="false"/>
          <w:sz w:val="20"/>
        </w:rPr>
        <w:t>Description of the Purchase Agreement—Purchase Price; Potential Adjustments to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Non-Solicitation; Non-Competition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post-closing restrictive covenants applicable to XWELL and its affiliates following the closing of the Sale, including a five-year non-competition covenant and a five-year non-solicitation covenant. Under the non-competition covenant, during the period commencing at closing and ending on the fifth anniversary of closing, XWELL may not, and must cause its controlled affiliates not to, directly or indirectly invest or own any interest in, manage, control, participate in, consult with, render services for, or otherwise engage in or knowingly assist others in engaging in any business or entity that competes with the XpresSpa Airport Business or the XpresTest Business as conducted as of the closing, anywhere in the world, subject to an exception permitting passive investments of less than 2% in publicly traded companies and an exception permitting current or former officers, directors, or employees of XWELL to independently seek or accept employment with a competing business, so long as XWELL and its affiliates do not encourage, solicit, facilitate, or otherwise assist in that person obtaining such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non-solicitation covenant, during the same period, XWELL may not, and must cause its affiliates not to, directly or indirectly solicit, induce or attempt to solicit or induce any employee of the Divestiture Companies or their subsidiaries who was employed as of closing and remains employed at the time of the solicitation to leave such employment, knowingly interfere adversely with that employment relationship, or hire or engage any such person whose employment or engagement was voluntarily terminated within the preceding six months, subject to an exception for general solicitations not directly targeted at such persons so long as such persons are not offered employment or engagement or hired or engaged. The non-solicitation covenant also prohibits XWELL and its affiliates from soliciting, inducing or attempting to solicit or induce any customer, supplier, licensor, licensee, lessor or other material business relation of the Divestiture Companies or their subsidiaries as of closing to cease doing business with, or otherwise adversely modify its business relationship with, the Divestiture Companies or their subsidiaries, and from knowingly interfering with any such relationship or prospective relationship. For more information, see the subsection titled “Description of the Purchase Agreement—Additional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Sale is subject to certain closing conditions, including, among other things, (i) the absence of any action or order preventing the transactions, (ii) Company stockholder approval, (iii) the accuracy of the parties’ respective representations and warranties, subject to applicable materiality standards, (iv) the performance, in all material respects, by the parties of their respective covenants under the Purchase Agreement, (v) the absence of a material adverse effect with respect to the Divestiture Companies since the date of the Purchase Agreement, (vi) satisfaction of certain minimum cash requirements, and (vii) the obtaining of certain third-party consents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neither a debt commitment letter nor an equity commitment letter has been obtained by the Buyer. The Buyer has represented that, subject to the funding of anticipated debt financing and equity capital contributed to the Buyer, the Buyer will have at the Closing the financial capability and sufficient unrestricted funds available necessary to consummate the transactions contemplated by the Purchase Agreement. The Buyer has agreed to use its reasonable best efforts to take all actions reasonably necessary to arrange and consummate equity financing and debt financing on commercially reasonable terms and in an aggregate amount sufficient to fund the transactions contemplated by the Purchase Agreement. The Company has been informed by the Buyer that, since the date of the Purchase Agreement, the Buyer has been in active discussions with multiple lending institutions regarding debt financing for the Sale, and that such lenders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closing in the fourth quarter of 2026. Notwithstanding the foregoing, the Buyer’s obligations under the Purchase Agreement are absolute and unconditional, are not contingent upon the Buyer’s or any other person’s ability to obtain financing, and the failure to obtain financing does not excuse the Buyer’s obligation to consummate the Closing (subject solely to satisfaction of the closing conditions). For more information, see the subsection titled “</w:t>
      </w:r>
      <w:r>
        <w:rPr>
          <w:rFonts w:ascii="Times New Roman;Times;Serif" w:hAnsi="Times New Roman;Times;Serif"/>
          <w:b w:val="false"/>
          <w:i/>
          <w:caps w:val="false"/>
          <w:smallCaps w:val="false"/>
          <w:sz w:val="20"/>
        </w:rPr>
        <w:t>Description of the Purchase Agreement—Conditions to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Solicitation of Other Offers; Change of 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Purchase Agreement until the earlier of the closing or termination of the Purchase Agreement, XWELL and the Divestiture Companies are restricted from soliciting, initiating, or knowingly encouraging or facilitating any inquiries or proposals regarding, or engaging in discussions or negotiations with any third party concerning, or furnishing any non-public information in connection with, any alternative transaction involving the Divestiture Group or any portion of the Business. XWELL and the Divestiture Companies also agreed not to enter into any letter of intent, agreement in principle, or similar agreement relating to an alternative transaction. Notwithstanding these restrictions, prior to receipt of the required Company stockholder approval,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may furnish information to, and engage in discussions with, a third party that submits an unsolicited, bona fide written proposal, if the Board determines in good faith, after consultation with outside legal counsel, that the proposal constitutes or could reasonably be expected to lead to a Superior Proposal and that failure to take such action would reasonably be expected to breach the Board’s fiduciary duties. Before furnishing any information or engaging in discussions with any such third party, XWELL must provide notice to Buyer of its intention to do so, and a copy of any written inquiry, proposal or offer and, in such instance, XWELL must keep Buyer informed of the status and details, including any material developments, in respect of any such discussions or negotiations.  Before changing its recommendation in favor of the Sale in response to a Superior Proposal or another specified intervening event, the Board must first notify Buyer and, if requested, negotiate in good faith with Buyer regarding possible amendments to the Purchase Agreement. For more information, see the subsection titled “</w:t>
      </w:r>
      <w:r>
        <w:rPr>
          <w:rFonts w:ascii="Times New Roman;Times;Serif" w:hAnsi="Times New Roman;Times;Serif"/>
          <w:b w:val="false"/>
          <w:i/>
          <w:caps w:val="false"/>
          <w:smallCaps w:val="false"/>
          <w:sz w:val="20"/>
        </w:rPr>
        <w:t>Description of the Purchase Agreement—Restrictions on Solicitation or Negotiation of Other Offers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XWELL or Buyer may terminate the Purchase Agreement under certain specified circumstances, including, among others, if (i) the Sale has not been consummated by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the Purchase Agreement, subject to up to two automatic 30-day extensions if the sole unsatisfied condition is Company stockholder approval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(ii) a governmental order makes the transactions illegal, or (iii) Company stockholder approval is not obtained at a duly convened meeting. Buyer may also terminate the Purchase Agreement if there has been an uncured breach by XWELL or the Divestiture Companies, or upon the occurrence of certain events relating to the recommendation of the Board to Company stockholders. XWELL may also terminate the Purchase Agreement if there has been an uncured breach by Buyer, to accept a Superior Proposal (subject to payment of the Buyer Termination Fee, (as defined below)), or if all conditions to Closing have been satisfied and the Buyer fails to close within five business days after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may, under certain circumstances, be required to pay Buyer a termination fee equal to the greater of (A) $1,300,000 and (B) $650,000 plus the Buyer’s documented out-of-pocket expenses (capped at $2,000,000 for expenses) (the “</w:t>
      </w:r>
      <w:r>
        <w:rPr>
          <w:rFonts w:ascii="Times New Roman;Times;Serif" w:hAnsi="Times New Roman;Times;Serif"/>
          <w:b/>
          <w:i w:val="false"/>
          <w:caps w:val="false"/>
          <w:smallCaps w:val="false"/>
          <w:sz w:val="20"/>
        </w:rPr>
        <w:t>Buyer Termination Fee</w:t>
      </w:r>
      <w:r>
        <w:rPr>
          <w:rFonts w:ascii="Times New Roman;Times;Serif" w:hAnsi="Times New Roman;Times;Serif"/>
          <w:b w:val="false"/>
          <w:i w:val="false"/>
          <w:caps w:val="false"/>
          <w:smallCaps w:val="false"/>
          <w:sz w:val="20"/>
        </w:rPr>
        <w:t>”). The Buyer Termination Fee will become payable if the Purchase Agreement is terminated (i) by the Buyer because the Board has changed its recommendation that XWELL’s stockholders vote to adopt and approve the Purchase Agreement, (ii) by XWELL in order to enter into a definitive agreement with respect to an alternative transaction, (iii) by either party upon the failure to obtain Company stockholder approval, (iv) by Buyer as a result of an uncured breach by XWELL or the Divestiture Companies, (v) by either party upon the expiration of the Termination Date at a time when Buyer would otherwise be entitled to terminate as a result of one of the foregoing events, or (vi) by either party upon the expiration of the Termination Date if, following the date of the Purchase Agreement and prior to such termination, an alternative transaction proposal was made to or publicly announced with respect to XWELL and, within twelve (12) months after such termination, XWELL consummates an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under certain circumstances, be required to pay XWELL a termination fee equal to the greater of (A) $1,300,000 and (B) $650,000 plus XWELL’s documented out-of-pocket expenses (capped at $2,000,000 for expenses) (the “</w:t>
      </w:r>
      <w:r>
        <w:rPr>
          <w:rFonts w:ascii="Times New Roman;Times;Serif" w:hAnsi="Times New Roman;Times;Serif"/>
          <w:b/>
          <w:i w:val="false"/>
          <w:caps w:val="false"/>
          <w:smallCaps w:val="false"/>
          <w:sz w:val="20"/>
        </w:rPr>
        <w:t>Seller Termination Fee</w:t>
      </w:r>
      <w:r>
        <w:rPr>
          <w:rFonts w:ascii="Times New Roman;Times;Serif" w:hAnsi="Times New Roman;Times;Serif"/>
          <w:b w:val="false"/>
          <w:i w:val="false"/>
          <w:caps w:val="false"/>
          <w:smallCaps w:val="false"/>
          <w:sz w:val="20"/>
        </w:rPr>
        <w:t xml:space="preserve">”). The Seller Termination Fee will become payable if the Purchase Agreement is terminated (i) by XWELL as a result of an uncured breach by the Buyer of any of its representations, warranties, covenants or agreements under the Purchase Agreement, or (ii) by XWELL if all conditions to the closing have been satisfied (or are capable of being satisfied), XWELL has confirmed in writing that it is ready, willing and able to close, and the Buyer fails to consummate the closing within five (5) business days following such notice. The parties have acknowledged that these termination fees were the product of arm’s-length negotiation and represent liquidated damages rather than a penalty. For more information, see the subsection titled </w:t>
      </w:r>
      <w:r>
        <w:rPr>
          <w:rFonts w:ascii="Times New Roman;Times;Serif" w:hAnsi="Times New Roman;Times;Serif"/>
          <w:b w:val="false"/>
          <w:i/>
          <w:caps w:val="false"/>
          <w:smallCaps w:val="false"/>
          <w:sz w:val="20"/>
        </w:rPr>
        <w:t>Description of the Purchase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Termination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Face Haus LLC, a Delaware limited liability company and the parent entity of the Buyer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delivered a limited guaranty in favor of XWELL (the “Limited Guaranty”). In accordance with the terms and subject to the conditions set forth in the Limited Guaranty, the Guarantor unconditionally and irrevocably guarantees the due and punctual payment and performance of certain obligations of the Buyer, including (i) payment of the Seller Termination Fee, (ii) payment or reimbursement of financing cooperation expenses pursuant to the Purchase Agreement, (iii) certain other amounts that may become payable upon termination of the Purchase Agreement, and (iv) payment of any monetary damages resulting from a Willful Breach (as defined in the Purchase Agreement) by the Buyer of its financing obligations under the Purchase Agreement. The Guarantor’s aggregate liability under the Limited Guaranty with respect to the Seller Termination Fee is capped at an amount equal to the Seller Termination Fee, and the Guarantor’s total aggregate liability under the Limited Guaranty may not exceed the Purchase Price. The Limited Guaranty will expire upon the closing. For more information, see the subsection titled “</w:t>
      </w:r>
      <w:r>
        <w:rPr>
          <w:rFonts w:ascii="Times New Roman;Times;Serif" w:hAnsi="Times New Roman;Times;Serif"/>
          <w:b w:val="false"/>
          <w:i/>
          <w:caps w:val="false"/>
          <w:smallCaps w:val="false"/>
          <w:sz w:val="20"/>
        </w:rPr>
        <w:t>Description of the Purchase Agreement—Limited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customary indemnification obligations. General claims for breaches of representations and warranties (other than fundamental representations) are subject to a cap of $2,000,000. The Buyer is required to first seek recovery from the indemnity escrow funds before making direct claims against XWELL for general representation and warranty claims. For more information, see the subsection titled “</w:t>
      </w:r>
      <w:r>
        <w:rPr>
          <w:rFonts w:ascii="Times New Roman;Times;Serif" w:hAnsi="Times New Roman;Times;Serif"/>
          <w:b w:val="false"/>
          <w:i/>
          <w:caps w:val="false"/>
          <w:smallCaps w:val="false"/>
          <w:sz w:val="20"/>
        </w:rPr>
        <w:t>Description of the Purchase Agreement—Indemnification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Purchase Agreement, (i) each member of the Board and each executive officer of XWELL who holds shares of XWELL’s common stock and (ii) American Ventures LLC Series XXIV XWELL (collectively, the “</w:t>
      </w:r>
      <w:r>
        <w:rPr>
          <w:rFonts w:ascii="Times New Roman;Times;Serif" w:hAnsi="Times New Roman;Times;Serif"/>
          <w:b/>
          <w:i w:val="false"/>
          <w:caps w:val="false"/>
          <w:smallCaps w:val="false"/>
          <w:sz w:val="20"/>
        </w:rPr>
        <w:t>Support Parties</w:t>
      </w:r>
      <w:r>
        <w:rPr>
          <w:rFonts w:ascii="Times New Roman;Times;Serif" w:hAnsi="Times New Roman;Times;Serif"/>
          <w:b w:val="false"/>
          <w:i w:val="false"/>
          <w:caps w:val="false"/>
          <w:smallCaps w:val="false"/>
          <w:sz w:val="20"/>
        </w:rPr>
        <w:t>”) entered into Support Agreements with the Buyer (collectively,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in accordance with the terms and subject to the conditions of which the Support Parties have agreed to, among other things, vote all of their shares of common stock in favor of the approval and adoption of the Purchase Agreement and the Sale, vote against any alternative transaction, and be present at every stockholder meeting for quorum purposes. The Support Agreements also contain certain transfer restrictions and non-solicitation provisions applicable to the Support Parties (solely in their capacity as stockholders of XWELL). XWELL is not a party to the Support Agreements but is an express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Ventures LLC Series XXIV XWELL also agreed in its Support Agreement to increase its maximum beneficial ownership threshold under its Series H Convertible Preferred Stock (the “</w:t>
      </w:r>
      <w:r>
        <w:rPr>
          <w:rFonts w:ascii="Times New Roman;Times;Serif" w:hAnsi="Times New Roman;Times;Serif"/>
          <w:b/>
          <w:i w:val="false"/>
          <w:caps w:val="false"/>
          <w:smallCaps w:val="false"/>
          <w:sz w:val="20"/>
        </w:rPr>
        <w:t>Series H Preferred</w:t>
      </w:r>
      <w:r>
        <w:rPr>
          <w:rFonts w:ascii="Times New Roman;Times;Serif" w:hAnsi="Times New Roman;Times;Serif"/>
          <w:b w:val="false"/>
          <w:i w:val="false"/>
          <w:caps w:val="false"/>
          <w:smallCaps w:val="false"/>
          <w:sz w:val="20"/>
        </w:rPr>
        <w:t xml:space="preserve">”) to 9.99% and to convert its Series H Preferred into shares of XWELL’s common stock prior to the record date for the stockholder meeting seeking Company stockholder approval. On July 7, 2026, in accordance with its Support Agreement, American Ventures LLC Series XXIV XWELL notified the Company that it was increasing its beneficial ownership threshold to 9.99%, and, on September 8, 2026, American Ventures LLC Series XXIV XWELL notified the Company that it was converting a portion of its Series H Preferred into 993,617 shares of Common Stock. As of the Record Date, such shares represented approximately 9.97% of the issued and outstanding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Sale, the parties will enter into a Transition Services Agreement and an Escrow Agreement with Citibank, N.A., as escrow agent. For more information, see the subsections titled “</w:t>
      </w:r>
      <w:r>
        <w:rPr>
          <w:rFonts w:ascii="Times New Roman;Times;Serif" w:hAnsi="Times New Roman;Times;Serif"/>
          <w:b w:val="false"/>
          <w:i/>
          <w:caps w:val="false"/>
          <w:smallCaps w:val="false"/>
          <w:sz w:val="20"/>
        </w:rPr>
        <w:t>Description of the Purchase Agreement—Certain Other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Special Meeting—Support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Special Meeting (see page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solely by means of remote communication via a live audio webcast at 10:00 a.m. Eastern Time, on October 28, 2026. Stockholders will not be able to attend the Special Meeting in person. All holders of record of shares of Common Stock as of the Record Date who pre-register in accordance with the instructions in this Proxy Statement will be able to attend, vote and participate in the Special Meeting virtually at https://web.viewproxy.com/XWELL/2026SM. Beneficial owners who hold shares in “street name” and wish to vote at the Special Meeting must obtain a legal proxy from their bank, broker or other nominee in order to do so.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holders of shares of Common Stock entitled to vote at the Special Meeting will be asked to consider and vote on the following: (i) a proposal to approve and adopt the Purchase Agreement, a copy of which is attached as Annex A to this Proxy Statement, and to approve the sale of all of the Company’s equity interests in the Divestiture Companies on the terms and conditions set forth in the Purchase Agreement (the “</w:t>
      </w:r>
      <w:r>
        <w:rPr>
          <w:rFonts w:ascii="Times New Roman;Times;Serif" w:hAnsi="Times New Roman;Times;Serif"/>
          <w:b/>
          <w:i w:val="false"/>
          <w:caps w:val="false"/>
          <w:smallCaps w:val="false"/>
          <w:sz w:val="20"/>
        </w:rPr>
        <w:t>Sale Proposal</w:t>
      </w:r>
      <w:r>
        <w:rPr>
          <w:rFonts w:ascii="Times New Roman;Times;Serif" w:hAnsi="Times New Roman;Times;Serif"/>
          <w:b w:val="false"/>
          <w:i w:val="false"/>
          <w:caps w:val="false"/>
          <w:smallCaps w:val="false"/>
          <w:sz w:val="20"/>
        </w:rPr>
        <w:t>”); (ii) an advisory (non-binding) proposal to approve certain compensation that may be paid or become payable to the Company’s named executive officers that is based on or otherwise relates to the Sale (the “</w:t>
      </w:r>
      <w:r>
        <w:rPr>
          <w:rFonts w:ascii="Times New Roman;Times;Serif" w:hAnsi="Times New Roman;Times;Serif"/>
          <w:b/>
          <w:i w:val="false"/>
          <w:caps w:val="false"/>
          <w:smallCaps w:val="false"/>
          <w:sz w:val="20"/>
        </w:rPr>
        <w:t>Compensation Proposal</w:t>
      </w:r>
      <w:r>
        <w:rPr>
          <w:rFonts w:ascii="Times New Roman;Times;Serif" w:hAnsi="Times New Roman;Times;Serif"/>
          <w:b w:val="false"/>
          <w:i w:val="false"/>
          <w:caps w:val="false"/>
          <w:smallCaps w:val="false"/>
          <w:sz w:val="20"/>
        </w:rPr>
        <w:t>”); (iii) a binding proposal to approve the increase of the number of shares of Common Stock reserved for issuance under the XWELL, Inc. 2020 Plan from 3,125,000 to 4,346,134 (the “</w:t>
      </w:r>
      <w:r>
        <w:rPr>
          <w:rFonts w:ascii="Times New Roman;Times;Serif" w:hAnsi="Times New Roman;Times;Serif"/>
          <w:b/>
          <w:i w:val="false"/>
          <w:caps w:val="false"/>
          <w:smallCaps w:val="false"/>
          <w:sz w:val="20"/>
        </w:rPr>
        <w:t>Incentive Plan Proposal</w:t>
      </w:r>
      <w:r>
        <w:rPr>
          <w:rFonts w:ascii="Times New Roman;Times;Serif" w:hAnsi="Times New Roman;Times;Serif"/>
          <w:b w:val="false"/>
          <w:i w:val="false"/>
          <w:caps w:val="false"/>
          <w:smallCaps w:val="false"/>
          <w:sz w:val="20"/>
        </w:rPr>
        <w:t>”); and (iv) a proposal to approve any adjournment of the Special Meeting, if necessary or appropriate, to solicit additional proxies in favor of the Sale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Approval of the Sale Proposal is a condition to completion of the Sale. If the Sale Proposal is not approved, the Sale will not be completed even if the other proposals are approved. Approval of the Compensation Proposal is not a condition to completion of the Sale, and the vote of Company stockholders on the Compensation Proposal will not have any bearing on whether the Sale is consummated. Approval of the Incentive Plan Proposal is not a condition to completion of the Sale, and the vote of Company stockholders on the Incentive Plan Proposal will not have any bearing on whether the Sale is consummated.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Record Date for the Special Meeting is the close of business on October 7, 2026. Only holders of record of shares of Common Stock as of the close of business on the Record Date are entitled to notice of, and to vote at, the Special Meeting or at any adjournment or postponement thereof. As of the Record Date, 9,970,883 shares of Common Stock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a quorum is not present or represented, either the chairperson of the Special Meeting or the stockholders entitled to vote at the meeting, present virtually or represented by proxy, will have the power to adjourn the Special Meeting from time to time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requires the affirmative vote of the holders of a majority of the outstanding shares of Common Stock entitled to vote thereon. Abstentions will have the same effect as votes “AGAINST” the Sale Proposal, and the failure to vote your shares of Common Stock, including the failure to instruct your bank, broker or other nominee how to vote shares held in “street name,” will likewise have the same effect as a vote “AGAINST” the Sale Proposal. Because no routine matters are presented at the Special Meeting, no broker non-votes are expected.</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of each of the Compensation Proposal, the Incentive Plan Proposal, and the Adjournment Proposal requires the affirmative vote of a majority of the votes cast by stockholders present virtually or represented by proxy at the Special Meeting and entitled to vote on the applicable proposal. Abstentions will have no effect on the outcome of the vote on the Compensation Proposal, the Incentive Plan Proposal, or the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Special Meeting, see the section titled “</w:t>
      </w:r>
      <w:r>
        <w:rPr>
          <w:rFonts w:ascii="Times New Roman;Times;Serif" w:hAnsi="Times New Roman;Times;Serif"/>
          <w:b w:val="false"/>
          <w:i/>
          <w:caps w:val="false"/>
          <w:smallCaps w:val="false"/>
          <w:sz w:val="20"/>
        </w:rPr>
        <w:t>The 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Reasons for the Sale (see page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unanimously recommends that Company stockholders vote “FOR” the Sale Proposal, “FOR” the Compensation Proposal, “FOR” the Incentive Plan Proposal, and “FOR” the 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Sale, the Board consulted with XWELL’s management team and legal and financial advisors and, after consideration of the various factors discussed in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Reasons for the Sale</w:t>
      </w:r>
      <w:r>
        <w:rPr>
          <w:rFonts w:ascii="Times New Roman;Times;Serif" w:hAnsi="Times New Roman;Times;Serif"/>
          <w:b w:val="false"/>
          <w:i w:val="false"/>
          <w:caps w:val="false"/>
          <w:smallCaps w:val="false"/>
          <w:sz w:val="20"/>
        </w:rPr>
        <w:t>,”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factors considered by the Board in reaching its decision to recommend the adoption of the Purchase Agreement and approval of the Sale, see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Reasons for the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the Company’s Financial Advisor (see page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of the Board held on July 6, 2026, Roth Capital Partners, LLC (“Roth”) rendered its opinion, dated July 6, 2026, to the Board that, as of that date and based on and subject to the matters described in its opinion, to the Company the consideration to be received by the Company in the Sale pursuant to the Purchase Agreement was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full text of Roth’s written opinion dated July 6, 2026, which describes the assumptions made, procedures followed, matters considered and limitations on the review undertaken, is attached to this Proxy Statement as Annex C.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was provided to the Board for its information and assistance in connection with its consideration of the financial terms of the Sale.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does not constitute a recommendation to the Board as to whether the Board should vote to approve the Sale or to any stockholder of the Company as to how any such stockholder should vote at any stockholders meeting at which the Sale is considered, or whether or not any stockholder should enter into voting, shareholders’, or affiliates’’ agreement with respect to the Sale.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does not compare the relative merits of the Sale with any other alternative transactions or business strategies which may have been available to the Company and does not address the underlying business decision of the Board or the Company to proceed with or effect the Sale.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Common Stock are urged to read the opinion carefully and in its entirety. For more information, see the section titled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Opinion of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Financial Advisor</w:t>
      </w:r>
      <w:r>
        <w:rPr>
          <w:rFonts w:ascii="Times New Roman;Times;Serif" w:hAnsi="Times New Roman;Times;Serif"/>
          <w:b w:val="false"/>
          <w:i w:val="false"/>
          <w:caps w:val="false"/>
          <w:smallCaps w:val="false"/>
          <w:sz w:val="20"/>
        </w:rPr>
        <w:t>” beginning on page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(see page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voting at the Special Meeting, you should carefully consider all of the information contained in this Proxy Statement.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 discussion of the risks related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 in Respect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our stockholders are not entitled to appraisal rights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 of the Sale (see page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Sale, the Company will deconsolidate the Divestiture Group entities sold pursuant to the Sale (namely, XpresSpa and XpresTest) and will derecognize the assets and liabilities of the Divestiture Group from its consolidated balance sheet. The Company’s financial statements will also reflect, to the extent applicable, the effect of the receipt and the use of the proceeds of the Sale. The Company will record a gain or loss on its consolidated statement of operations in connection with the Sale equal to the difference between (i) the fair value of the consideration received for the Purchased Equity, less transaction costs and Sale Expenses, and (ii) the carrying value of the net assets of XpresSpa Holdings, LLC and XpresTest, Inc.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 in the Sale (see page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Board that stockholders vote “FOR” the Sale Proposal, stockholders should be aware that certain of the Company’s directors and executive officers have interests in the Sale that are different from, or in addition to, the interests of the Company’s stockholders generally. The Board was aware of, and considered, these interests in evaluating and negotiating the Purchase Agreement and the Sale, and in recommending that stockholders approve the Purchase Agreement. In addition to the equity interests described elsewhere in this Proxy Statement, certain directors and executive officers are parties to pre-existing commission arrangements with XpresTest relating to a government contract for infectious disease testing services. To the extent that such contract has not been terminated or fully performed prior to the closing of the Sale, the contract and the related commission arrangements will transfer to the Buyer as part of the Divestiture Group and will not remain with, or be an obligation of, the Company. For more information, see the section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p_002"/>
      <w:bookmarkEnd w:id="3"/>
      <w:r>
        <w:rPr>
          <w:rFonts w:ascii="Times New Roman;Times;Serif" w:hAnsi="Times New Roman;Times;Serif"/>
          <w:b/>
          <w:i w:val="false"/>
          <w:caps w:val="false"/>
          <w:smallCaps w:val="false"/>
          <w:sz w:val="20"/>
        </w:rPr>
        <w:t>QUESTIONS AND ANSWERS ABOUT THE SPECIAL MEETING AND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questions and answers are intended to address briefly some commonly asked questions regarding the Sale, the Purchase Agreement and the Special Meeting. These questions and answers may not address all questions that may be important to you as a stockholder of the Company. Please refer to the “Summary” beginning on page 1 and the more detailed information contained elsewhere in this Proxy Statement, the annexes to this Proxy Statement and the documents referred to in this Proxy Statement. See “Where You Can Find Additional Information” beginning on page 81.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sp_003"/>
      <w:bookmarkEnd w:id="4"/>
      <w:r>
        <w:rPr>
          <w:rFonts w:ascii="Times New Roman;Times;Serif" w:hAnsi="Times New Roman;Times;Serif"/>
          <w:b/>
          <w:i w:val="false"/>
          <w:caps w:val="false"/>
          <w:smallCaps w:val="false"/>
          <w:sz w:val="20"/>
        </w:rPr>
        <w:t>Questions about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complete the Sale, among other conditions, holders of a majority of the outstanding shares of Common Stock as of the Record Date must approve the Sale Proposal. The Company will hold the Special Meeting to obtain such Company stockholder approval. This Proxy Statement, including its annexes, contains or incorporates by reference important information about XWELL, the Divestiture Companies, the Sale and the Special Meeting. This Proxy Statement also contains important information about the Buyer. You should read all of the available information carefully and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electronically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regulations of the Securities and Exchange Commission (the “SEC”) require that we give to you when we ask you to sign a proxy card to vote your stock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eligible stockholders who share a single address, we may send only one copy of this Proxy Statement and the proxy card to that address unless we receive instructions to the contrary from any stockholder at that address. This practice, known as “householding,” is designed to reduce our printing and postage costs. However, if a stockholder of record residing at such address wishes to receive a separate copy of this Proxy Statement and the proxy card) in the future, he or she may contact us by submitting a request to XWELL, Inc., 254 West 31st Street, 11th Floor, New York, New York 10001, Attention: Corporate Secretary; telephone number (212) 750-9595 or by contacting our proxy solicitor, Alliance Advisors, LLC (“</w:t>
      </w:r>
      <w:r>
        <w:rPr>
          <w:rFonts w:ascii="Times New Roman;Times;Serif" w:hAnsi="Times New Roman;Times;Serif"/>
          <w:b/>
          <w:i w:val="false"/>
          <w:caps w:val="false"/>
          <w:smallCaps w:val="false"/>
          <w:sz w:val="20"/>
        </w:rPr>
        <w:t>Alliance</w:t>
      </w:r>
      <w:r>
        <w:rPr>
          <w:rFonts w:ascii="Times New Roman;Times;Serif" w:hAnsi="Times New Roman;Times;Serif"/>
          <w:b w:val="false"/>
          <w:i w:val="false"/>
          <w:caps w:val="false"/>
          <w:smallCaps w:val="false"/>
          <w:sz w:val="20"/>
        </w:rPr>
        <w:t>”), by calling 1-833-215-7321. Stockholders who own shares through a bank, broker or other intermediary can request householding by contacting the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deliver promptly, upon written or oral request, a copy of the proxy statement and proxy card to a stockholder at a shared address to which a single copy of the document was delivered. Requests should be directed to the address or phone number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Special Meeting?</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holders of shares of Common Stock entitled to vote at the Special Meeting will be asked to consider and vote on the following: (i) the Sale Proposal to approve and adopt the Purchase Agreement and to approve the sale of all of the Company’s equity interests in the Divestiture Companies on the terms and conditions set forth in the Purchase Agreement; (ii) the Compensation Proposal, which is an advisory (non-binding) proposal to approve certain compensation that may be paid or become payable to the Company’s named executive officers that is based on or otherwise relates to the Sale; (iii) the Incentive Plan Proposal, which is a binding proposal to approve the increase of the number of shares of Common Stock reserved for issuance under the XWELL, Inc. 2020 Plan from 3,125,000 to 4,346,134; and (iv) the Adjournment Proposal, which is a proposal to approve any adjournment of the Special Meeting, if necessary or appropriate, to solicit additional proxies in favor of the Sale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of the Sale Proposal is a condition to completion of the Sale. If the Sale Proposal is not approved, the Sale will not be completed even if the other proposals are approved. Approval of the Compensation Proposal is not a condition to completion of the Sale, and the vote of Company stockholders on the Compensation Proposal will not have any bearing on whether the Sale is consummated. Approval of the Incentive Plan Proposal is not a condition to completion of the Sale, and the vote of Company stockholders on the Incentive Plan Proposal will not have any bearing on whether the Sale is consummated.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being asked to cast an advisory (non-binding) vote to approve the compensation that may be paid or become payable to XWELL’s named executive officers that is based on or otherwise relates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14A of the Exchange Act and the applicable SEC rules thereunder, which were implemented as part of the Dodd-Frank Wall Street Reform and Consumer Protection Act of 2010, require XWELL to provide its stockholders with the opportunity to vote to approve, on a non-binding, advisory basis, the compensation that may be paid or become payable to XWELL’s named executive officers that is based on or otherwise relates to the Sale and the other transactions contemplated by the Purchase Agreement, including the payments summarized in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Proposal—Interests of Directors and Executive Officers in the Sale</w:t>
      </w:r>
      <w:r>
        <w:rPr>
          <w:rFonts w:ascii="Times New Roman;Times;Serif" w:hAnsi="Times New Roman;Times;Serif"/>
          <w:b w:val="false"/>
          <w:i w:val="false"/>
          <w:caps w:val="false"/>
          <w:smallCaps w:val="false"/>
          <w:sz w:val="20"/>
        </w:rPr>
        <w:t>.” This vote is commonly referred to as a “golden parachute say-on-pay” vote. Accordingly, Company stockholders are being provided with the opportunity to cast an advisory vote on these change of control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if any, that may become payable by the Buyer or the Divestiture Companies to XWELL’s named executive officers in connection with any such named executive officer’s continued service with the Buyer or the Divestiture Companies following the closing of the Sale is not subject to this advisory (non-binding)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vote on the Compensation Proposal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vote on the Compensation Proposal is advisory only and will not be binding on XWELL or on Express Wellness Group, LLC. Accordingly, if the Sale Proposal is approved and the Sale is completed, the compensation payable to our named executive officers in connection with the Sale may be paid even if our stockholders fail to approve the Compensation Proposal, subject to the terms of the applicable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stockholders attend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in your own name,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no later than 11:59 p.m. Eastern Time on October 27, 2026, and registering for the meeting exactly as your registration appears on your proxy card. You must provide a valid email address to register and to vote at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no later than 11:59 p.m. Eastern Time on October 27, 2026, and following the instructions on the website. After registering, you may be asked to provide proof of ownership and, if applicable, a legal proxy, before being approved for attendance at the meeting. You must provide a valid email address to register and to vote at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record date and what does it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October 7,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The Record Date was established by the Board as required by Delaware law. As of the Record Date, 9,970,883 shares of Common Stock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our Common Stock is entitled to vote at the Special Meeting. Each holder of Common Stock is entitled to one vote per share of Common Stock on all matters to be acted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with our stock transfer agent, Equiniti Trust Company, LLC, you are considered the stockholder of record with respect to those shares. The proxy statement and proxy card has been sent directly to you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held with a broker, bank or other nominee, then the organization holding your account is considered the record holder of those shares. You are considered the beneficial owner of these shares, and your shares are held in “street name” and the proxy statement and proxy card have been forwarded to you by your nominee. As a beneficial owner, you have the right to direct your broker, bank or other nominee on how to vote the shares in your account. You are also invited to attend the Special Meeting. However, because you are not the stockholder of record, you may not vote your shares at the Special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 A broker non-vote occurs when a broker submits a proxy but does not vote for a matter because the broker has not received voting instructions from the beneficial owner and the broker does not have discretionary voting authority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do not provide voting instructions to your broker, then your shares will not be voted at the Special Meeting on any proposal with respect to which your broker does not have discretionary authority except as to “routine matters.” None of the Sale Proposal, the Incentive Plan Proposal, the Compensation Proposal, or the Adjournment Proposal will be considered a “routine matter” at the Special Meeting and accordingly, in the absence of specific instructions from you, your broker does not have discretionary authority to vote your shares with respect to such proposals. As a result, we do not expect any broker non-votes at the Special Meeting. If you are a beneficial owner, we encourage you to instruct your broker, bank or other nominee how to vote your shares using the voting instruction form provided by your broker, bank or other nominee so that your vote can be counted.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and how will my proxy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Special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Voting by proxy will not affect your right to attend the Special Meeting virtually.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
        <w:gridCol w:w="122"/>
        <w:gridCol w:w="9996"/>
      </w:tblGrid>
      <w:tr>
        <w:trPr/>
        <w:tc>
          <w:tcPr>
            <w:tcW w:w="87" w:type="dxa"/>
            <w:tcBorders/>
            <w:vAlign w:val="center"/>
          </w:tcPr>
          <w:p>
            <w:pPr>
              <w:pStyle w:val="TableContents"/>
              <w:bidi w:val="0"/>
              <w:spacing w:before="0" w:after="283"/>
              <w:jc w:val="both"/>
              <w:rPr/>
            </w:pPr>
            <w:r>
              <w:rPr/>
              <w:t xml:space="preserve">  </w:t>
            </w:r>
          </w:p>
        </w:tc>
        <w:tc>
          <w:tcPr>
            <w:tcW w:w="122" w:type="dxa"/>
            <w:tcBorders/>
            <w:vAlign w:val="center"/>
          </w:tcPr>
          <w:p>
            <w:pPr>
              <w:pStyle w:val="TableContents"/>
              <w:bidi w:val="0"/>
              <w:spacing w:before="0" w:after="283"/>
              <w:jc w:val="both"/>
              <w:rPr/>
            </w:pPr>
            <w:r>
              <w:rPr>
                <w:rFonts w:ascii="Symbol" w:hAnsi="Symbol"/>
                <w:sz w:val="20"/>
              </w:rPr>
              <w:t>·</w:t>
            </w:r>
            <w:r>
              <w:rPr/>
              <w:t xml:space="preserve"> </w:t>
            </w:r>
          </w:p>
        </w:tc>
        <w:tc>
          <w:tcPr>
            <w:tcW w:w="9996" w:type="dxa"/>
            <w:tcBorders/>
            <w:vAlign w:val="center"/>
          </w:tcPr>
          <w:p>
            <w:pPr>
              <w:pStyle w:val="TableContents"/>
              <w:bidi w:val="0"/>
              <w:spacing w:before="0" w:after="283"/>
              <w:jc w:val="both"/>
              <w:rPr/>
            </w:pPr>
            <w:r>
              <w:rPr>
                <w:rFonts w:ascii="Times New Roman;Times;Serif" w:hAnsi="Times New Roman;Times;Serif"/>
                <w:b/>
                <w:sz w:val="20"/>
              </w:rPr>
              <w:t>Voting Via the Internet</w:t>
            </w:r>
            <w:r>
              <w:rPr>
                <w:rFonts w:ascii="Times New Roman;Times;Serif" w:hAnsi="Times New Roman;Times;Serif"/>
                <w:sz w:val="20"/>
              </w:rPr>
              <w:t>: You may vote via the Internet by following the proxy card. Go to </w:t>
            </w:r>
            <w:r>
              <w:rPr>
                <w:rFonts w:ascii="Times New Roman;Times;Serif" w:hAnsi="Times New Roman;Times;Serif"/>
                <w:i/>
                <w:sz w:val="20"/>
              </w:rPr>
              <w:t>www.AALvote.com/XWELSM</w:t>
            </w:r>
            <w:r>
              <w:rPr>
                <w:rFonts w:ascii="Times New Roman;Times;Serif" w:hAnsi="Times New Roman;Times;Serif"/>
                <w:sz w:val="20"/>
              </w:rPr>
              <w:t> and have your proxy card available. The Internet voting facilities will close at 11:59 p.m. Eastern Time on October 27, 2026.</w:t>
            </w:r>
            <w:r>
              <w:rPr/>
              <w:t xml:space="preserve"> </w:t>
            </w:r>
          </w:p>
        </w:tc>
      </w:tr>
      <w:tr>
        <w:trPr/>
        <w:tc>
          <w:tcPr>
            <w:tcW w:w="87" w:type="dxa"/>
            <w:tcBorders/>
            <w:vAlign w:val="center"/>
          </w:tcPr>
          <w:p>
            <w:pPr>
              <w:pStyle w:val="TableContents"/>
              <w:bidi w:val="0"/>
              <w:spacing w:before="0" w:after="283"/>
              <w:jc w:val="both"/>
              <w:rPr/>
            </w:pPr>
            <w:r>
              <w:rPr/>
              <w:t> </w:t>
            </w:r>
          </w:p>
        </w:tc>
        <w:tc>
          <w:tcPr>
            <w:tcW w:w="122"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87" w:type="dxa"/>
            <w:tcBorders/>
            <w:vAlign w:val="center"/>
          </w:tcPr>
          <w:p>
            <w:pPr>
              <w:pStyle w:val="TableContents"/>
              <w:bidi w:val="0"/>
              <w:spacing w:before="0" w:after="283"/>
              <w:jc w:val="both"/>
              <w:rPr/>
            </w:pPr>
            <w:r>
              <w:rPr/>
              <w:t xml:space="preserve">  </w:t>
            </w:r>
          </w:p>
        </w:tc>
        <w:tc>
          <w:tcPr>
            <w:tcW w:w="122" w:type="dxa"/>
            <w:tcBorders/>
            <w:vAlign w:val="center"/>
          </w:tcPr>
          <w:p>
            <w:pPr>
              <w:pStyle w:val="TableContents"/>
              <w:bidi w:val="0"/>
              <w:spacing w:before="0" w:after="283"/>
              <w:jc w:val="both"/>
              <w:rPr/>
            </w:pPr>
            <w:r>
              <w:rPr>
                <w:rFonts w:ascii="Symbol" w:hAnsi="Symbol"/>
                <w:sz w:val="20"/>
              </w:rPr>
              <w:t>·</w:t>
            </w:r>
            <w:r>
              <w:rPr/>
              <w:t xml:space="preserve"> </w:t>
            </w:r>
          </w:p>
        </w:tc>
        <w:tc>
          <w:tcPr>
            <w:tcW w:w="99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w:t>
            </w:r>
            <w:r>
              <w:rPr>
                <w:rFonts w:ascii="Times New Roman;Times;Serif" w:hAnsi="Times New Roman;Times;Serif"/>
                <w:b w:val="false"/>
                <w:i w:val="false"/>
                <w:caps w:val="false"/>
                <w:smallCaps w:val="false"/>
                <w:sz w:val="20"/>
              </w:rPr>
              <w:t xml:space="preserve">: If you received a proxy card by mail, you can vote by completing, signing, dating and promptly returning the enclosed Proxy Card in the postage-paid envelope provided. A completed Proxy Card returned by mail must be received at the address stated on the proxy card before October 28, 2026. If you sign the enclosed Proxy Card but do not specify how you want your shares voted, they will be voted in accordance with the Board’s recommendations as described in this Proxy Statement. </w:t>
            </w:r>
          </w:p>
        </w:tc>
      </w:tr>
      <w:tr>
        <w:trPr/>
        <w:tc>
          <w:tcPr>
            <w:tcW w:w="87" w:type="dxa"/>
            <w:tcBorders/>
            <w:vAlign w:val="center"/>
          </w:tcPr>
          <w:p>
            <w:pPr>
              <w:pStyle w:val="TableContents"/>
              <w:bidi w:val="0"/>
              <w:spacing w:before="0" w:after="283"/>
              <w:jc w:val="both"/>
              <w:rPr/>
            </w:pPr>
            <w:r>
              <w:rPr/>
              <w:t> </w:t>
            </w:r>
          </w:p>
        </w:tc>
        <w:tc>
          <w:tcPr>
            <w:tcW w:w="122"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87" w:type="dxa"/>
            <w:tcBorders/>
            <w:vAlign w:val="center"/>
          </w:tcPr>
          <w:p>
            <w:pPr>
              <w:pStyle w:val="TableContents"/>
              <w:bidi w:val="0"/>
              <w:spacing w:before="0" w:after="283"/>
              <w:jc w:val="both"/>
              <w:rPr/>
            </w:pPr>
            <w:r>
              <w:rPr/>
              <w:t xml:space="preserve">  </w:t>
            </w:r>
          </w:p>
        </w:tc>
        <w:tc>
          <w:tcPr>
            <w:tcW w:w="122" w:type="dxa"/>
            <w:tcBorders/>
            <w:vAlign w:val="center"/>
          </w:tcPr>
          <w:p>
            <w:pPr>
              <w:pStyle w:val="TableContents"/>
              <w:bidi w:val="0"/>
              <w:spacing w:before="0" w:after="283"/>
              <w:jc w:val="both"/>
              <w:rPr/>
            </w:pPr>
            <w:r>
              <w:rPr>
                <w:rFonts w:ascii="Symbol" w:hAnsi="Symbol"/>
                <w:sz w:val="20"/>
              </w:rPr>
              <w:t>·</w:t>
            </w:r>
            <w:r>
              <w:rPr/>
              <w:t xml:space="preserve"> </w:t>
            </w:r>
          </w:p>
        </w:tc>
        <w:tc>
          <w:tcPr>
            <w:tcW w:w="9996" w:type="dxa"/>
            <w:tcBorders/>
            <w:vAlign w:val="center"/>
          </w:tcPr>
          <w:p>
            <w:pPr>
              <w:pStyle w:val="TableContents"/>
              <w:bidi w:val="0"/>
              <w:spacing w:before="0" w:after="283"/>
              <w:jc w:val="both"/>
              <w:rPr/>
            </w:pPr>
            <w:r>
              <w:rPr>
                <w:rFonts w:ascii="Times New Roman;Times;Serif" w:hAnsi="Times New Roman;Times;Serif"/>
                <w:b/>
                <w:sz w:val="20"/>
              </w:rPr>
              <w:t>By Telephone</w:t>
            </w:r>
            <w:r>
              <w:rPr>
                <w:rFonts w:ascii="Times New Roman;Times;Serif" w:hAnsi="Times New Roman;Times;Serif"/>
                <w:sz w:val="20"/>
              </w:rPr>
              <w:t>: You may vote by telephone by calling (866) 804-9616 and following the instructions on the proxy card, as applicable, available when you call. The telephone voting facilities will close at 11:59 p.m. Eastern Time on October 27, 2026.</w:t>
            </w:r>
            <w:r>
              <w:rPr/>
              <w:t xml:space="preserve"> </w:t>
            </w:r>
          </w:p>
        </w:tc>
      </w:tr>
      <w:tr>
        <w:trPr/>
        <w:tc>
          <w:tcPr>
            <w:tcW w:w="87" w:type="dxa"/>
            <w:tcBorders/>
            <w:vAlign w:val="center"/>
          </w:tcPr>
          <w:p>
            <w:pPr>
              <w:pStyle w:val="TableContents"/>
              <w:bidi w:val="0"/>
              <w:spacing w:before="0" w:after="283"/>
              <w:jc w:val="both"/>
              <w:rPr/>
            </w:pPr>
            <w:r>
              <w:rPr/>
              <w:t> </w:t>
            </w:r>
          </w:p>
        </w:tc>
        <w:tc>
          <w:tcPr>
            <w:tcW w:w="122"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87" w:type="dxa"/>
            <w:tcBorders/>
            <w:vAlign w:val="center"/>
          </w:tcPr>
          <w:p>
            <w:pPr>
              <w:pStyle w:val="TableContents"/>
              <w:bidi w:val="0"/>
              <w:spacing w:before="0" w:after="283"/>
              <w:jc w:val="both"/>
              <w:rPr/>
            </w:pPr>
            <w:r>
              <w:rPr/>
              <w:t> </w:t>
            </w:r>
          </w:p>
        </w:tc>
        <w:tc>
          <w:tcPr>
            <w:tcW w:w="122"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Virtually at the Special Meeting</w:t>
            </w:r>
            <w:r>
              <w:rPr>
                <w:rFonts w:ascii="Times New Roman;Times;Serif" w:hAnsi="Times New Roman;Times;Serif"/>
                <w:sz w:val="20"/>
              </w:rPr>
              <w:t>: You may also vote by attending the virtual Special Meeting. To attend the virtual Special Meeting, you must first pre-register as described under ”</w:t>
            </w:r>
            <w:r>
              <w:rPr>
                <w:rFonts w:ascii="Times New Roman;Times;Serif" w:hAnsi="Times New Roman;Times;Serif"/>
                <w:i/>
                <w:sz w:val="20"/>
              </w:rPr>
              <w:t>How Can Stockholders Attend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Internet voting procedures are designed to authenticate stockholders’ identities, to allow you to vote your shares and to confirm that your instructions have been properly recorded. Please refer to your proxy card, as applicable, or the information forwarded by your bank, broker or other nominee to see which options are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is fairly simple to complete, with specific instructions on the electronic ballot, telephone or card. By completing and submitting your proxy, you will direct the designated person (known as a “proxy” or collectively, “proxies”) to vote your stock at the Special Meeting in accordance with your instructions. The Board has appointed Ezra T. Ernst and Bruce T. Bernstein to serve as the proxies for the Special Meeting.</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proxy will be valid only if you complete and return it before the Special Meeting. If you properly complete and transmit your proxy but do not provide voting instructions with respect to a proposal, then the designated proxies will vote your shares “FOR” for each of the Sale Proposal, the Incentive Plan Proposal, the Compensation Proposal, and the Adjournment Proposal. We do not anticipate that any other matters will come before the Special Meeting, but if any other matters properly come before the meeting, then the designated proxies will vote your shares in accordance with applicable law and their judgment.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 Alternatively, if you want to vote your shares during the Special Meeting, you must contact your nominee directly in order to obtain a proxy issued to you by your nominee holder. Note that a broker letter that identifies you as a stockholder is not the same as a nominee-issued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technicians ready to assist you with any technical difficulties you may have accessing the Special Meeting live audio webcast. Please be sure to check in 15 minutes prior to the start of the Special Meeting, so that any technical difficulties may be addressed before the Special Meeting live audio webcast begins. If you encounter any difficulties accessing the webcast during the check-in or meeting time, please email </w:t>
      </w:r>
      <w:r>
        <w:rPr>
          <w:rFonts w:ascii="Times New Roman;Times;Serif" w:hAnsi="Times New Roman;Times;Serif"/>
          <w:b w:val="false"/>
          <w:i/>
          <w:caps w:val="false"/>
          <w:smallCaps w:val="false"/>
          <w:sz w:val="20"/>
        </w:rPr>
        <w:t>VirtualMeeting@viewproxy.com</w:t>
      </w:r>
      <w:r>
        <w:rPr>
          <w:rFonts w:ascii="Times New Roman;Times;Serif" w:hAnsi="Times New Roman;Times;Serif"/>
          <w:b w:val="false"/>
          <w:i w:val="false"/>
          <w:caps w:val="false"/>
          <w:smallCaps w:val="false"/>
          <w:sz w:val="20"/>
        </w:rPr>
        <w:t xml:space="preserve"> or call 866-612-8937.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Alliance, the inspector of election appointed for the Special Meeting. Each proposal will be tabulated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my shares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stockholder of record, you may vote your shares at the Special Meeting by submitting your vote electronically during the Special Meeting. If you hold your shares in “street name,” you may vote your shares at the Special Meeting only if you obtain a proxy issued by your bank, broker or other nominee giving you the right to vote the shares. Even if you currently plan to attend the Special Meeting, we recommend that you submit your proxy as described above so that your votes will be counted if you later decide not to attend the Special Meeting or are unable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choices when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vote against or abstain from voting on each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Board’s recommendations on how I should vote my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you vote your shares “FOR” each of the Sale Proposal, the Compensation Proposal, the Incentive Plan Proposal, and the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I want my shares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record holder who returns a completed proxy that does not specify how you want to vote your shares on one or more proposals, the proxy will vote your shares for each proposal as to which you provide no voting instructions, and such shares will be voted “FOR” each of the Sale Proposal, the Compensation Proposal, the Incentive Plan Proposal, and the Adjournment Proposal.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“street name” holder and do not provide voting instructions on one or more proposals, your bank, broker or other nominee will be unable to vote those shares with respect to the Sale Proposal, the Compensation Proposal, the Incentive Plan Proposal, or the Adjournment Proposal. See “What is a broker non-vote? What is discretionary voting?”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9"/>
        <w:gridCol w:w="144"/>
        <w:gridCol w:w="9952"/>
      </w:tblGrid>
      <w:tr>
        <w:trPr/>
        <w:tc>
          <w:tcPr>
            <w:tcW w:w="109" w:type="dxa"/>
            <w:tcBorders/>
            <w:vAlign w:val="center"/>
          </w:tcPr>
          <w:p>
            <w:pPr>
              <w:pStyle w:val="TableContents"/>
              <w:bidi w:val="0"/>
              <w:spacing w:before="0" w:after="283"/>
              <w:jc w:val="both"/>
              <w:rPr/>
            </w:pPr>
            <w:r>
              <w:rPr/>
              <w:t xml:space="preserve">  </w:t>
            </w:r>
          </w:p>
        </w:tc>
        <w:tc>
          <w:tcPr>
            <w:tcW w:w="144" w:type="dxa"/>
            <w:tcBorders/>
            <w:vAlign w:val="center"/>
          </w:tcPr>
          <w:p>
            <w:pPr>
              <w:pStyle w:val="TableContents"/>
              <w:bidi w:val="0"/>
              <w:spacing w:before="0" w:after="283"/>
              <w:jc w:val="both"/>
              <w:rPr/>
            </w:pPr>
            <w:r>
              <w:rPr>
                <w:rFonts w:ascii="Symbol" w:hAnsi="Symbol"/>
                <w:sz w:val="20"/>
              </w:rPr>
              <w:t>·</w:t>
            </w:r>
            <w:r>
              <w:rPr/>
              <w:t xml:space="preserve"> </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Completing and submitting a new valid proxy bearing a later date by Internet or telephone by 11:59 p.m. Eastern Time, on October 27, 2026. </w:t>
            </w:r>
          </w:p>
        </w:tc>
      </w:tr>
      <w:tr>
        <w:trPr/>
        <w:tc>
          <w:tcPr>
            <w:tcW w:w="109"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283"/>
              <w:jc w:val="both"/>
              <w:rPr/>
            </w:pPr>
            <w:r>
              <w:rPr/>
              <w:t> </w:t>
            </w:r>
          </w:p>
        </w:tc>
        <w:tc>
          <w:tcPr>
            <w:tcW w:w="9952" w:type="dxa"/>
            <w:tcBorders/>
            <w:vAlign w:val="center"/>
          </w:tcPr>
          <w:p>
            <w:pPr>
              <w:pStyle w:val="TableContents"/>
              <w:bidi w:val="0"/>
              <w:spacing w:before="0" w:after="283"/>
              <w:jc w:val="both"/>
              <w:rPr/>
            </w:pPr>
            <w:r>
              <w:rPr/>
              <w:t> </w:t>
            </w:r>
          </w:p>
        </w:tc>
      </w:tr>
      <w:tr>
        <w:trPr/>
        <w:tc>
          <w:tcPr>
            <w:tcW w:w="109" w:type="dxa"/>
            <w:tcBorders/>
            <w:vAlign w:val="center"/>
          </w:tcPr>
          <w:p>
            <w:pPr>
              <w:pStyle w:val="TableContents"/>
              <w:bidi w:val="0"/>
              <w:spacing w:before="0" w:after="283"/>
              <w:jc w:val="both"/>
              <w:rPr/>
            </w:pPr>
            <w:r>
              <w:rPr/>
              <w:t xml:space="preserve">  </w:t>
            </w:r>
          </w:p>
        </w:tc>
        <w:tc>
          <w:tcPr>
            <w:tcW w:w="144" w:type="dxa"/>
            <w:tcBorders/>
            <w:vAlign w:val="center"/>
          </w:tcPr>
          <w:p>
            <w:pPr>
              <w:pStyle w:val="TableContents"/>
              <w:bidi w:val="0"/>
              <w:spacing w:before="0" w:after="283"/>
              <w:jc w:val="both"/>
              <w:rPr/>
            </w:pPr>
            <w:r>
              <w:rPr>
                <w:rFonts w:ascii="Symbol" w:hAnsi="Symbol"/>
                <w:sz w:val="20"/>
              </w:rPr>
              <w:t>·</w:t>
            </w:r>
            <w:r>
              <w:rPr/>
              <w:t xml:space="preserve"> </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Giving written notice of revocation by mail to the Company addressed to the Corporate Secretary at our address above, which notice must be received before 5:00 p.m. Eastern Time, on October 27, 2026.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required for the approval of the proposals to be voted upon and how will abstentions and broker non-votes be treated?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5"/>
        <w:gridCol w:w="67"/>
        <w:gridCol w:w="4095"/>
        <w:gridCol w:w="67"/>
        <w:gridCol w:w="4351"/>
      </w:tblGrid>
      <w:tr>
        <w:trPr/>
        <w:tc>
          <w:tcPr>
            <w:tcW w:w="1625" w:type="dxa"/>
            <w:tcBorders>
              <w:bottom w:val="single" w:sz="8" w:space="0" w:color="000000"/>
            </w:tcBorders>
            <w:vAlign w:val="center"/>
          </w:tcPr>
          <w:p>
            <w:pPr>
              <w:pStyle w:val="TableContents"/>
              <w:bidi w:val="0"/>
              <w:spacing w:before="0" w:after="283"/>
              <w:jc w:val="both"/>
              <w:rPr/>
            </w:pPr>
            <w:r>
              <w:rPr>
                <w:rFonts w:ascii="Times New Roman;Times;Serif" w:hAnsi="Times New Roman;Times;Serif"/>
                <w:b/>
                <w:sz w:val="20"/>
              </w:rPr>
              <w:t>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bottom w:val="single" w:sz="8" w:space="0" w:color="000000"/>
            </w:tcBorders>
            <w:vAlign w:val="center"/>
          </w:tcPr>
          <w:p>
            <w:pPr>
              <w:pStyle w:val="TableContents"/>
              <w:bidi w:val="0"/>
              <w:spacing w:before="0" w:after="283"/>
              <w:jc w:val="both"/>
              <w:rPr/>
            </w:pPr>
            <w:r>
              <w:rPr>
                <w:rFonts w:ascii="Times New Roman;Times;Serif" w:hAnsi="Times New Roman;Times;Serif"/>
                <w:b/>
                <w:sz w:val="20"/>
              </w:rPr>
              <w:t>Vote required</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bottom w:val="single" w:sz="8" w:space="0" w:color="000000"/>
            </w:tcBorders>
            <w:vAlign w:val="center"/>
          </w:tcPr>
          <w:p>
            <w:pPr>
              <w:pStyle w:val="TableContents"/>
              <w:bidi w:val="0"/>
              <w:spacing w:before="0" w:after="283"/>
              <w:jc w:val="both"/>
              <w:rPr/>
            </w:pPr>
            <w:r>
              <w:rPr>
                <w:rFonts w:ascii="Times New Roman;Times;Serif" w:hAnsi="Times New Roman;Times;Serif"/>
                <w:b/>
                <w:sz w:val="20"/>
              </w:rPr>
              <w:t>Effect of Abstentions and Broker Non-Votes</w:t>
            </w:r>
            <w:r>
              <w:rPr/>
              <w:t xml:space="preserve"> </w:t>
            </w:r>
          </w:p>
        </w:tc>
      </w:tr>
      <w:tr>
        <w:trPr/>
        <w:tc>
          <w:tcPr>
            <w:tcW w:w="1625" w:type="dxa"/>
            <w:tcBorders/>
            <w:tcMar>
              <w:bottom w:w="0" w:type="dxa"/>
            </w:tcMar>
            <w:vAlign w:val="center"/>
          </w:tcPr>
          <w:p>
            <w:pPr>
              <w:pStyle w:val="TableContents"/>
              <w:bidi w:val="0"/>
              <w:spacing w:before="0" w:after="283"/>
              <w:jc w:val="both"/>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t xml:space="preserve">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b/>
                <w:sz w:val="20"/>
                <w:u w:val="single"/>
              </w:rPr>
              <w:t>Proposal 1</w:t>
            </w:r>
            <w:r>
              <w:rPr>
                <w:rFonts w:ascii="Times New Roman;Times;Serif" w:hAnsi="Times New Roman;Times;Serif"/>
                <w:b/>
                <w:sz w:val="20"/>
              </w:rPr>
              <w:t xml:space="preserve">: </w:t>
              <w:br/>
              <w:t>Sale 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rFonts w:ascii="Times New Roman;Times;Serif" w:hAnsi="Times New Roman;Times;Serif"/>
                <w:sz w:val="20"/>
              </w:rPr>
              <w:t>The affirmative vote of a majority of the shares outstanding and entitled to vote on the Sale Proposal is required to approve the Sale 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rFonts w:ascii="Times New Roman;Times;Serif" w:hAnsi="Times New Roman;Times;Serif"/>
                <w:sz w:val="20"/>
              </w:rPr>
              <w:t>Abstentions will have the same effect as votes against the Sale Proposal. No broker non-votes are expected in connection with the Special Meeting. Failure to instruct your bank, broker or other nominee how to vote your shares on the Sale Proposal will have the same effect as a vote against the Sale Proposal.</w:t>
            </w: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t xml:space="preserve">  </w:t>
            </w:r>
          </w:p>
        </w:tc>
      </w:tr>
      <w:tr>
        <w:trPr/>
        <w:tc>
          <w:tcPr>
            <w:tcW w:w="1625" w:type="dxa"/>
            <w:tcBorders/>
            <w:tcMar>
              <w:bottom w:w="0" w:type="dxa"/>
            </w:tcMar>
            <w:vAlign w:val="center"/>
          </w:tcPr>
          <w:p>
            <w:pPr>
              <w:pStyle w:val="TableContents"/>
              <w:bidi w:val="0"/>
              <w:spacing w:before="0" w:after="283"/>
              <w:jc w:val="left"/>
              <w:rPr/>
            </w:pPr>
            <w:r>
              <w:rPr>
                <w:b/>
                <w:u w:val="single"/>
              </w:rPr>
              <w:t>Proposal 2</w:t>
            </w:r>
            <w:r>
              <w:rPr>
                <w:b/>
              </w:rPr>
              <w:t xml:space="preserve">: </w:t>
              <w:br/>
              <w:t>Compensation 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rFonts w:ascii="Times New Roman;Times;Serif" w:hAnsi="Times New Roman;Times;Serif"/>
                <w:sz w:val="20"/>
              </w:rPr>
              <w:t>The affirmative vote of a majority of the votes cast by the stockholders present virtually or represented by proxy, voting affirmatively or negatively at the Special Meeting and entitled to vote on the Compensation Proposal is required to approve the Compensation Proposal. </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rFonts w:ascii="Times New Roman;Times;Serif" w:hAnsi="Times New Roman;Times;Serif"/>
                <w:sz w:val="20"/>
              </w:rPr>
              <w:t>Abstentions will have no effect on the outcome of voting. No broker non-votes are expected in connection with the Special Meeting. Failure to instruct your bank, broker or other nominee how to vote your shares on the Compensation Proposal will have no effect on the Compensation Proposal.</w:t>
            </w: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t xml:space="preserve">  </w:t>
            </w:r>
          </w:p>
        </w:tc>
      </w:tr>
      <w:tr>
        <w:trPr/>
        <w:tc>
          <w:tcPr>
            <w:tcW w:w="1625" w:type="dxa"/>
            <w:tcBorders/>
            <w:tcMar>
              <w:bottom w:w="0" w:type="dxa"/>
            </w:tcMar>
            <w:vAlign w:val="center"/>
          </w:tcPr>
          <w:p>
            <w:pPr>
              <w:pStyle w:val="TableContents"/>
              <w:bidi w:val="0"/>
              <w:spacing w:before="0" w:after="283"/>
              <w:jc w:val="left"/>
              <w:rPr/>
            </w:pPr>
            <w:r>
              <w:rPr>
                <w:b/>
                <w:u w:val="single"/>
              </w:rPr>
              <w:t>Proposal 3</w:t>
            </w:r>
            <w:r>
              <w:rPr>
                <w:b/>
              </w:rPr>
              <w:t>:</w:t>
              <w:br/>
              <w:t>Incentive Plan 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t xml:space="preserve">The affirmative vote of a majority of the votes cast by the stockholders present virtually or represented by proxy, voting affirmatively or negatively at the Special Meeting and entitled to vote on the Incentive Plan Proposal is required to approve the Incentive Plan Proposal.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t xml:space="preserve">Abstentions will have no effect on the outcome of voting. No broker non-votes are expected in connection with the Special Meeting. Failure to instruct your bank, broker or other nominee how to vote your shares on the Incentive Plan Proposal will have no effect on the Incentive Plan Proposal.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t xml:space="preserve">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b/>
                <w:sz w:val="20"/>
                <w:u w:val="single"/>
              </w:rPr>
              <w:t>Proposal 4</w:t>
            </w:r>
            <w:r>
              <w:rPr>
                <w:rFonts w:ascii="Times New Roman;Times;Serif" w:hAnsi="Times New Roman;Times;Serif"/>
                <w:b/>
                <w:sz w:val="20"/>
              </w:rPr>
              <w:t xml:space="preserve">: </w:t>
              <w:br/>
              <w:t>Adjournment Proposal</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095" w:type="dxa"/>
            <w:tcBorders/>
            <w:tcMar>
              <w:bottom w:w="0" w:type="dxa"/>
            </w:tcMar>
            <w:vAlign w:val="center"/>
          </w:tcPr>
          <w:p>
            <w:pPr>
              <w:pStyle w:val="TableContents"/>
              <w:bidi w:val="0"/>
              <w:spacing w:before="0" w:after="283"/>
              <w:jc w:val="both"/>
              <w:rPr/>
            </w:pPr>
            <w:r>
              <w:rPr>
                <w:rFonts w:ascii="Times New Roman;Times;Serif" w:hAnsi="Times New Roman;Times;Serif"/>
                <w:sz w:val="20"/>
              </w:rPr>
              <w:t>The affirmative vote of a majority of the votes cast by the stockholders present virtually or represented by proxy, voting affirmatively or negatively at the Special Meeting and entitled to vote on the Adjournment Proposal is required to approve the Adjournment Proposal. </w:t>
            </w:r>
            <w:r>
              <w:rPr/>
              <w:t xml:space="preserve"> </w:t>
            </w:r>
          </w:p>
        </w:tc>
        <w:tc>
          <w:tcPr>
            <w:tcW w:w="67" w:type="dxa"/>
            <w:tcBorders/>
            <w:tcMar>
              <w:bottom w:w="0" w:type="dxa"/>
            </w:tcMar>
            <w:vAlign w:val="center"/>
          </w:tcPr>
          <w:p>
            <w:pPr>
              <w:pStyle w:val="TableContents"/>
              <w:bidi w:val="0"/>
              <w:spacing w:before="0" w:after="283"/>
              <w:jc w:val="both"/>
              <w:rPr/>
            </w:pPr>
            <w:r>
              <w:rPr/>
              <w:t xml:space="preserve">  </w:t>
            </w:r>
          </w:p>
        </w:tc>
        <w:tc>
          <w:tcPr>
            <w:tcW w:w="4351" w:type="dxa"/>
            <w:tcBorders/>
            <w:tcMar>
              <w:bottom w:w="0" w:type="dxa"/>
            </w:tcMar>
            <w:vAlign w:val="center"/>
          </w:tcPr>
          <w:p>
            <w:pPr>
              <w:pStyle w:val="TableContents"/>
              <w:bidi w:val="0"/>
              <w:spacing w:before="0" w:after="283"/>
              <w:jc w:val="both"/>
              <w:rPr/>
            </w:pPr>
            <w:r>
              <w:rPr>
                <w:rFonts w:ascii="Times New Roman;Times;Serif" w:hAnsi="Times New Roman;Times;Serif"/>
                <w:sz w:val="20"/>
              </w:rPr>
              <w:t>Abstentions will have no effect on the outcome of voting. No broker non-votes are expected in connection with the Special Meeting. Failure to instruct your bank, broker or other nominee how to vote your shares on the Adjournment Proposal will have no effect on the Adjournment Proposal.</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solicitation expenses and who pays the cost of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the proxy statement, proxy card and the notice,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$15,000 for its services in connection with the solicitation of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Special Meeting is adjourned?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number of shares present virtually or represented by proxy and voting in favor of the Sale Proposal is insufficient to approve the Sale Proposal, or if a quorum is not present, the Board may adjourn the Special Meeting to a later date to solicit additional proxies. If the Adjournment Proposal is approved, the Board would have discretionary authority to adjourn the Special Meeting even if stockholders have already voted against the Sale Proposal, and to use the additional time to seek to change those votes. If the Special Meeting is adjourned, any proxies you have already submitted will remain valid and be voted at the adjourned meeting unless you revoke or change them beforehand. See “Can I change my vote?” above and “Proposal 4: The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there will be no business brought before the Special Meeting other than the Sale Proposal, the Compensation Proposal, the Incentive Plan Proposal, and the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reported on Form 8-K, which will be filed with the SEC within four business days after the Special Meeting. If our final voting results are not available within four business days after the Special Meeting, we will file a Form 8-K reporting the preliminary voting results and subsequently file the final voting results in an amendment to the Form 8-K within four business days after the final voting results are known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XWEL@allianceadvisors.com.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5" w:name="sp_004"/>
      <w:bookmarkEnd w:id="5"/>
      <w:r>
        <w:rPr>
          <w:rFonts w:ascii="Times New Roman;Times;Serif" w:hAnsi="Times New Roman;Times;Serif"/>
          <w:b/>
          <w:i w:val="false"/>
          <w:caps w:val="false"/>
          <w:smallCaps w:val="false"/>
          <w:sz w:val="20"/>
        </w:rPr>
        <w:t>Questions about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proposed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that XWELL sell the Purchased Equity to Buyer. The Purchased Equity consists of all of XWELL’s equity interests in XpresSpa and XpresTest.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our sale, transfer, and delivery of the Purchased Equity to Buyer pursuant to the Purchase Agreement and our other covenants and obligations thereunder, at the closing of the Sale, XWELL expects Buyer to pay cash consideration of $13,000,000, subject to certain adjustments as described in the Purchase Agreement. The terms of the Purchase Agreement are more fully described below under “Description of the Purchase Agreement” beginning on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I receive if the Sale is completed?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is a sale by XWELL of all of the equity interests in the Divestiture Companies to the Buyer, and the Purchase Price will be paid to XWELL, not to XWELL stockholders. If the Sale is completed, you will not receive any cash, securities or other consideration in respect of your shares of Common Stock, and you will continue to hold your shares of Common Stock and remain a stockholder of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holders of XpresTest RSAs receive in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5, 2026, XpresTest consummated the XpresTest RSA Repurchases pursuant to which XpresTest repurchased all outstanding XpresTest RSAs for an aggregate cash payment of approximately $2.7 million, or $9,634.09 per share. In connection with the XpresTest RSA Repurchases, any XpresTest RSAs that had not previously vested became fully vested. After giving effect to the XpresTest RSA Repurchases, no XpresTest RSAs remain outstanding, and XWELL now owns all of the issued and outstanding shares of capital stock of XpresTest.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these XpresTest RSAs would have become fully vested and been repurchased by XpresTest for an amount in cash equal to (i) the number of shares of XpresTest common stock underlying such XpresTest RSA multiplied by (ii) a per-share price to be mutually agreed by the Buyer and XWELL based on a valuation of XpresTest. The XpresTest RSA Repurchase Price is the same price the Buyer and XWELL had agreed would apply to the XpresTest RSAs at closing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XpresTest RSA Repurchases were completed early with the consent of the Buyer and have the effect of simplifying XpresTest’s capitalization in preparation for the Sale. Under the terms of the Purchase Agreement, all amounts payable in respect of the repurchased XpresTest RSAs would have constituted XWELL sale expenses, which would have reduced dollar-for-dollar the purchase price payable by the Buyer to XWELL. Because these amounts have now already been paid in full, they will not be included in the calculation of XWELL’s unpaid sale expenses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did the Board determine to approve the Sale and the consideration to be received pursuant to the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 is intended to maximize value for XWELL’s stockholders and to help facilitate a transformative strategic restructuring of XWELL. The Sale is the result of a broad review of strategic alternatives by the Board.  In the course of reaching the determination that the Sale is advisable and in the best interests of the Company, the Board evaluated the Sale in consultation with our management and financial and legal advisors and considered a number of substantive factors, both positive and negative, and potential benefits and detriments of the Sale.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if the Sale is not approved by stockholders or is not completed for any other reason?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for any reason, (i) the Company may have difficulty recouping significant transaction costs incurred in connection with negotiating and documenting the Sale, (ii) the Company’s relationships with its customers, business partners and employees may be damaged and its business may be harmed, (iii) the Company may be in a less advantageous position to pursue transformative strategic opportunities, and (iv) the market price of the Company’s common stock may decline. In addition, under certain circumstances, including if the Purchase Agreement is terminated because the Board has changed its recommendation that XWELL stockholders vote to adopt and approve the Purchase Agreement or because XWELL terminates the Purchase Agreement to enter into a definitive agreement with respect to an alternative transaction, XWELL may be required to pay Buyer a termination fee equal to the greater of (A) $1,300,000 and (B) $650,000 plus the Buyer’s documented out-of-pocket expenses, capped at $2,000,000 for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the Company may explore other potential transactions. The terms of any alternative transaction may be more or less favorable to the Company than the terms of the Sale, and there can be no assurance that the Company will be able to reach agreement with, or complete an alternative transaction with, another party. For more information, see “Risk Factors—Risk Factors Relating to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is the Sale expected to be completed?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approved by XWELL stockholders at the Special Meeting, the Company expects to complete the Sale on the date that is two business days after the date on which the last of the remaining closing conditions under the Purchase Agreement has been satisfied or waived, other than conditions that by their terms are to be satisfied at the closing, or at such other time as XWELL and the Buyer may mutually agree in writing. The exact timing of the completion of the Sale cannot be predicted, and the Purchase Agreement may be terminated by either XWELL or Buyer if the Sale has not been consummated before the 180th day following the date of the Purchase Agreement, subject to up to two automatic 30-day extensions if the sole unsatisfied closing condition is receipt of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Company cease business operations following the Sale?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Company expects that, immediately after giving effect to the Sale, the Company will continue to operate the Retained Ex-Airport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the net proceeds from the Sale be used for?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does not intend to distribute the cash proceeds of the Sale to its stockholders in the form of a dividend or otherwise. Rather, the Company intends to retain the net proceeds of the Sale as cash on hand to fund the continued operation of the Retained Ex-Airport Business and to pursue transformative strategic acquisition or business combination opportunities. As of the date of this Proxy Statement, the Company has not entered into any definitive agreement providing for such an extraordinary corporate transaction. However, the Board intends to evaluate opportunities across a range of industries that the Board believes offer more attractive growth characteristics and a more differentiated risk and return profile than the Company’s current operations There can be no assurance that the Company will be able to identify or execute upon any such acquisition or combination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conditions to the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Consummation of the Sale is subject to certain closing conditions, including, among other things, (i) the absence of any action or order preventing the transactions, (ii) Company stockholder approval, (iii) the accuracy of the parties’ respective representations and warranties, subject to applicable materiality standards, (iv) the performance, in all material respects, by the parties of their respective covenants under the Purchase Agreement, (v) the absence of a material adverse effect with respect to the Divestiture Companies since the date of the Purchase Agreement, (vi) satisfaction of certain minimum cash requirements, and (vii) the obtaining of certain third-party consents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Buyer’s obligation to complete the Sale subject to the Buyer’s receipt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Buyer’s obligations under the Purchase Agreement are not subject to any condition regarding its ability to finance, or obtain financing for,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the date of the Purchase Agreement, the Buyer had not obtained a debt commitment letter or an equity commitment letter with respect to the financing contemplated for the Sale. The Buyer has agreed to use its reasonable best efforts to arrange and consummate debt financing and equity financing on commercially reasonable terms in an amount sufficient to fund the transactions contemplated by the Purchase Agreement, including by negotiating and entering into definitive financing agreements and using reasonable best efforts to consummate such financing at the closing. The failure of the Buyer to obtain a debt commitment letter or an equity commitment letter, or to consummate any debt or equity financing, will not, by itself, constitute a breach of the Buyer’s financing covenant so long as the Buyer has communicated in good faith with potential financing sources and is otherwise using reasonable best efforts to obtain such financing. Since the date of the Purchase Agreement, the Company has been informed by the Buyer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timely closing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 definitive financing commitments have been obtained as of the date of this Proxy Statement, the Company has been informed by the Buyer that the Buyer is in active discussions with multiple lending institutions that have conducted preliminary due diligence and have expressed a willingness to provide financing for the Sale. Nevertheless, there can be no assurance that the Buyer will obtain definitive commitments or that such financing will be consummated at or prior to the closing. Although XWELL and the Divestiture Companies have the right to seek specific performance to compel the Buyer to consummate the Sale in certain circumstances, that right is available only if, among other conditions, the proceeds of the Buyer’s debt financing have been received in full or the applicable debt financing sources have irrevocably confirmed in writing that such proceeds will be funded at closing. If the Buyer is unable to obtain the financing necessary to consummate the Sale and closing does not occur, XWELL may be entitled to terminate the Purchase Agreement and receive the Seller Termination Fee, which the Guarantor has guaranteed subject to the caps described under “</w:t>
      </w:r>
      <w:r>
        <w:rPr>
          <w:rFonts w:ascii="Times New Roman;Times;Serif" w:hAnsi="Times New Roman;Times;Serif"/>
          <w:b w:val="false"/>
          <w:i/>
          <w:caps w:val="false"/>
          <w:smallCaps w:val="false"/>
          <w:sz w:val="20"/>
        </w:rPr>
        <w:t>Description of the Purchase Agreement-Limited Guaranty</w:t>
      </w:r>
      <w:r>
        <w:rPr>
          <w:rFonts w:ascii="Times New Roman;Times;Serif" w:hAnsi="Times New Roman;Times;Serif"/>
          <w:b w:val="false"/>
          <w:i w:val="false"/>
          <w:caps w:val="false"/>
          <w:smallCaps w:val="false"/>
          <w:sz w:val="20"/>
        </w:rPr>
        <w:t>,” but the Sale itself would not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p_005"/>
      <w:bookmarkEnd w:id="6"/>
      <w:r>
        <w:rPr>
          <w:rFonts w:ascii="Times New Roman;Times;Serif" w:hAnsi="Times New Roman;Times;Serif"/>
          <w:b/>
          <w:i w:val="false"/>
          <w:caps w:val="false"/>
          <w:smallCaps w:val="false"/>
          <w:sz w:val="20"/>
        </w:rPr>
        <w:t>CAUTIONARY STATEMENT CONCERNING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Proxy Statement contains forward-looking statements, including within the meaning of Section 27A of the Securities Act of 1933, as amended (the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Section 21E of the Exchange Act. All statements other than statements of historical fact contained in this Proxy Statement are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purposes of this Proxy Statement.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accomplished.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assume, forecast, future, strategy, might, or the negative or plural of those terms or other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factors and matters contained or incorporated in this Proxy Statement, these statements are subject to risks, uncertainties, and other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6"/>
        <w:gridCol w:w="10022"/>
      </w:tblGrid>
      <w:tr>
        <w:trPr/>
        <w:tc>
          <w:tcPr>
            <w:tcW w:w="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completion of the Sale may not occur on the anticipated terms and timing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occurrence of any event, change or other circumstances that could give rise to the termination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effect of the announcement or pendency of the Sale on our business relationships (including with employees, customers and suppliers), operating results and business generally;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any litigation brought in connection with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disruption of management time from ongoing business operations due to the pendency of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failure of our stockholders to approve the Sale Proposal, and the risk that any of the other closing conditions to the Sale may not be satisfied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5"/>
        <w:gridCol w:w="9984"/>
      </w:tblGrid>
      <w:tr>
        <w:trPr/>
        <w:tc>
          <w:tcPr>
            <w:tcW w:w="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 of the costs, fees, expenses and charges related to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failure to comply with regulations and any changes in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hire or retain employees, consultants or other resources;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1"/>
        <w:gridCol w:w="10042"/>
      </w:tblGrid>
      <w:tr>
        <w:trPr/>
        <w:tc>
          <w:tcPr>
            <w:tcW w:w="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continue to operate the Retained Ex-Airport Business after completion of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potential impact of general economic, political and market factors on XWELL or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identify and realize any potential strategic opportunities;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effects of the announcement or the consummation of the Sale on the market price of our Common Stock, or the delisting of our Common Stock from Nasdaq and related limitations on future trading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exclusive. The forward-looking statements in this Proxy Statement are only predictions. We based these forward-looking statements largely on our current expectations and projections about future events and financial trends that we believe may affect our business, financial condition, and results of operations. Forward-looking statements are inherently subject to risks, uncertainties, and assumptions, some of which cannot be predicted or quantified and some of which are beyond our control. Risks, uncertainties, and assumptions that may cause actual results to differ materially from current expectations include, among other things, those set forth in under the caption “Risk Factors” in this Proxy Statement and the Company’s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Proxy Statement reflects our current view with respect to future events, speaks only as of the date of this Proxy Statement,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p_006"/>
      <w:bookmarkEnd w:id="7"/>
      <w:r>
        <w:rPr>
          <w:rFonts w:ascii="Times New Roman;Times;Serif" w:hAnsi="Times New Roman;Times;Serif"/>
          <w:b/>
          <w:i w:val="false"/>
          <w:caps w:val="false"/>
          <w:smallCaps w:val="false"/>
          <w:sz w:val="20"/>
        </w:rPr>
        <w:t>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sp_007"/>
      <w:bookmarkEnd w:id="8"/>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virtually, via live webcast at </w:t>
      </w:r>
      <w:r>
        <w:rPr>
          <w:rFonts w:ascii="Times New Roman;Times;Serif" w:hAnsi="Times New Roman;Times;Serif"/>
          <w:b w:val="false"/>
          <w:i/>
          <w:caps w:val="false"/>
          <w:smallCaps w:val="false"/>
          <w:sz w:val="20"/>
        </w:rPr>
        <w:t>www.virtualshareholdermeeting.com/XWELL2026SM</w:t>
      </w:r>
      <w:r>
        <w:rPr>
          <w:rFonts w:ascii="Times New Roman;Times;Serif" w:hAnsi="Times New Roman;Times;Serif"/>
          <w:b w:val="false"/>
          <w:i w:val="false"/>
          <w:caps w:val="false"/>
          <w:smallCaps w:val="false"/>
          <w:sz w:val="20"/>
        </w:rPr>
        <w:t xml:space="preserve">, on October 28, 2026, at 10:00 a.m. Eastern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sp_008"/>
      <w:bookmarkEnd w:id="9"/>
      <w:r>
        <w:rPr>
          <w:rFonts w:ascii="Times New Roman;Times;Serif" w:hAnsi="Times New Roman;Times;Serif"/>
          <w:b/>
          <w:i w:val="false"/>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act upon the matters outlined in the Notice,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both"/>
              <w:rPr/>
            </w:pPr>
            <w:r>
              <w:rPr/>
              <w:t> </w:t>
            </w:r>
          </w:p>
        </w:tc>
        <w:tc>
          <w:tcPr>
            <w:tcW w:w="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consider and vote upon a proposal (the “Sale Proposal” or “Proposal 1”) to approve and adopt the Purchase Agreement and to approve the Sale on the terms and conditions set forth in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
        <w:gridCol w:w="184"/>
        <w:gridCol w:w="9924"/>
      </w:tblGrid>
      <w:tr>
        <w:trPr/>
        <w:tc>
          <w:tcPr>
            <w:tcW w:w="97" w:type="dxa"/>
            <w:tcBorders/>
            <w:vAlign w:val="center"/>
          </w:tcPr>
          <w:p>
            <w:pPr>
              <w:pStyle w:val="TableContents"/>
              <w:bidi w:val="0"/>
              <w:spacing w:before="0" w:after="283"/>
              <w:jc w:val="both"/>
              <w:rPr/>
            </w:pPr>
            <w:r>
              <w:rPr/>
              <w:t> </w:t>
            </w:r>
          </w:p>
        </w:tc>
        <w:tc>
          <w:tcPr>
            <w:tcW w:w="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pPr>
            <w:r>
              <w:rPr/>
              <w:t>To consider and vote upon a proposal (the “Compensation Proposal” or “Proposal 2”) to approve, by non-binding, advisory vote, compensation that may become payable to the Company’s named executive officers in connection with the Sale; and  </w:t>
            </w:r>
          </w:p>
        </w:tc>
      </w:tr>
      <w:tr>
        <w:trPr/>
        <w:tc>
          <w:tcPr>
            <w:tcW w:w="97" w:type="dxa"/>
            <w:tcBorders/>
            <w:vAlign w:val="center"/>
          </w:tcPr>
          <w:p>
            <w:pPr>
              <w:pStyle w:val="TableContents"/>
              <w:bidi w:val="0"/>
              <w:spacing w:before="0" w:after="283"/>
              <w:jc w:val="both"/>
              <w:rPr/>
            </w:pPr>
            <w:r>
              <w:rPr/>
              <w:t> </w:t>
            </w:r>
          </w:p>
        </w:tc>
        <w:tc>
          <w:tcPr>
            <w:tcW w:w="184"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both"/>
              <w:rPr/>
            </w:pPr>
            <w:r>
              <w:rPr/>
              <w:t> </w:t>
            </w:r>
          </w:p>
        </w:tc>
      </w:tr>
      <w:tr>
        <w:trPr/>
        <w:tc>
          <w:tcPr>
            <w:tcW w:w="97" w:type="dxa"/>
            <w:tcBorders/>
            <w:vAlign w:val="center"/>
          </w:tcPr>
          <w:p>
            <w:pPr>
              <w:pStyle w:val="TableContents"/>
              <w:bidi w:val="0"/>
              <w:spacing w:before="0" w:after="283"/>
              <w:jc w:val="both"/>
              <w:rPr/>
            </w:pPr>
            <w:r>
              <w:rPr/>
              <w:t xml:space="preserve">  </w:t>
            </w:r>
          </w:p>
        </w:tc>
        <w:tc>
          <w:tcPr>
            <w:tcW w:w="184" w:type="dxa"/>
            <w:tcBorders/>
            <w:vAlign w:val="center"/>
          </w:tcPr>
          <w:p>
            <w:pPr>
              <w:pStyle w:val="TableContents"/>
              <w:bidi w:val="0"/>
              <w:spacing w:before="0" w:after="283"/>
              <w:jc w:val="both"/>
              <w:rPr/>
            </w:pPr>
            <w:r>
              <w:rPr/>
              <w:t xml:space="preserve">3. </w:t>
            </w:r>
          </w:p>
        </w:tc>
        <w:tc>
          <w:tcPr>
            <w:tcW w:w="9924" w:type="dxa"/>
            <w:tcBorders/>
            <w:vAlign w:val="center"/>
          </w:tcPr>
          <w:p>
            <w:pPr>
              <w:pStyle w:val="TableContents"/>
              <w:bidi w:val="0"/>
              <w:spacing w:before="0" w:after="283"/>
              <w:jc w:val="both"/>
              <w:rPr/>
            </w:pPr>
            <w:r>
              <w:rPr/>
              <w:t xml:space="preserve">To consider and vote upon a proposal (the “Incentive Plan Proposal” or “Proposal 3”) to approve the increase of the number of shares of Common Stock reserved for issuance under the XWELL, Inc. 2020 Plan from 3,125,000 to 4,346,134; and </w:t>
            </w:r>
          </w:p>
        </w:tc>
      </w:tr>
      <w:tr>
        <w:trPr/>
        <w:tc>
          <w:tcPr>
            <w:tcW w:w="97" w:type="dxa"/>
            <w:tcBorders/>
            <w:vAlign w:val="center"/>
          </w:tcPr>
          <w:p>
            <w:pPr>
              <w:pStyle w:val="TableContents"/>
              <w:bidi w:val="0"/>
              <w:spacing w:before="0" w:after="283"/>
              <w:jc w:val="both"/>
              <w:rPr/>
            </w:pPr>
            <w:r>
              <w:rPr/>
              <w:t> </w:t>
            </w:r>
          </w:p>
        </w:tc>
        <w:tc>
          <w:tcPr>
            <w:tcW w:w="184" w:type="dxa"/>
            <w:tcBorders/>
            <w:vAlign w:val="center"/>
          </w:tcPr>
          <w:p>
            <w:pPr>
              <w:pStyle w:val="TableContents"/>
              <w:bidi w:val="0"/>
              <w:spacing w:before="0" w:after="283"/>
              <w:jc w:val="both"/>
              <w:rPr/>
            </w:pPr>
            <w:r>
              <w:rPr/>
              <w:t> </w:t>
            </w:r>
          </w:p>
        </w:tc>
        <w:tc>
          <w:tcPr>
            <w:tcW w:w="9924" w:type="dxa"/>
            <w:tcBorders/>
            <w:vAlign w:val="center"/>
          </w:tcPr>
          <w:p>
            <w:pPr>
              <w:pStyle w:val="TableContents"/>
              <w:bidi w:val="0"/>
              <w:spacing w:before="0" w:after="283"/>
              <w:jc w:val="left"/>
              <w:rPr/>
            </w:pPr>
            <w:r>
              <w:rPr/>
              <w:t> </w:t>
            </w:r>
          </w:p>
        </w:tc>
      </w:tr>
      <w:tr>
        <w:trPr/>
        <w:tc>
          <w:tcPr>
            <w:tcW w:w="97" w:type="dxa"/>
            <w:tcBorders/>
            <w:vAlign w:val="center"/>
          </w:tcPr>
          <w:p>
            <w:pPr>
              <w:pStyle w:val="TableContents"/>
              <w:bidi w:val="0"/>
              <w:spacing w:before="0" w:after="283"/>
              <w:jc w:val="both"/>
              <w:rPr/>
            </w:pPr>
            <w:r>
              <w:rPr/>
              <w:t xml:space="preserve">  </w:t>
            </w:r>
          </w:p>
        </w:tc>
        <w:tc>
          <w:tcPr>
            <w:tcW w:w="184" w:type="dxa"/>
            <w:tcBorders/>
            <w:vAlign w:val="center"/>
          </w:tcPr>
          <w:p>
            <w:pPr>
              <w:pStyle w:val="TableContents"/>
              <w:bidi w:val="0"/>
              <w:spacing w:before="0" w:after="283"/>
              <w:jc w:val="both"/>
              <w:rPr/>
            </w:pPr>
            <w:r>
              <w:rPr>
                <w:rFonts w:ascii="Times New Roman;Times;Serif" w:hAnsi="Times New Roman;Times;Serif"/>
                <w:sz w:val="20"/>
              </w:rPr>
              <w:t>4.</w:t>
            </w:r>
            <w:r>
              <w:rPr/>
              <w:t xml:space="preserve"> </w:t>
            </w:r>
          </w:p>
        </w:tc>
        <w:tc>
          <w:tcPr>
            <w:tcW w:w="9924" w:type="dxa"/>
            <w:tcBorders/>
            <w:vAlign w:val="center"/>
          </w:tcPr>
          <w:p>
            <w:pPr>
              <w:pStyle w:val="TableContents"/>
              <w:bidi w:val="0"/>
              <w:spacing w:before="0" w:after="283"/>
              <w:jc w:val="both"/>
              <w:rPr/>
            </w:pPr>
            <w:r>
              <w:rPr>
                <w:rFonts w:ascii="Times New Roman;Times;Serif" w:hAnsi="Times New Roman;Times;Serif"/>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4”).</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transact no other business at the Special Meeting. Please refer to the accompanying proxy statement of which this notice is a part for further information with respect to the business to be transacted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sp_009"/>
      <w:bookmarkEnd w:id="10"/>
      <w:r>
        <w:rPr>
          <w:rFonts w:ascii="Times New Roman;Times;Serif" w:hAnsi="Times New Roman;Times;Serif"/>
          <w:b/>
          <w:i w:val="false"/>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Record Date to determine the stockholders entitled to notice of and to vote at the Special Meeting is the close of business on October 7, 2026. The Record Date was established by the Board as required by Delaware law. As of the Record Date, 9,970,883 shares of Common Stock were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sp_010"/>
      <w:bookmarkEnd w:id="11"/>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sp_011"/>
      <w:bookmarkEnd w:id="12"/>
      <w:r>
        <w:rPr>
          <w:rFonts w:ascii="Times New Roman;Times;Serif" w:hAnsi="Times New Roman;Times;Serif"/>
          <w:b/>
          <w:i w:val="false"/>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1: The affirmative “FOR” vote of the holders of a majority of the outstanding shares of our Common Stock entitled to vote thereon is required to approve the Sale Proposal, including the Sale pursuant to the Purchase Agreement. Abstentions will have the same effect as votes “AGAINST” the Sale Proposal. Since no routine matters are presented at the Special Meeting, no broker non-votes are expected.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2: The affirmative vote of a majority of the votes cast by the stockholders present virtually or represented by proxy, voting affirmatively or negatively at the Special Meeting and entitled to vote on the Compensation Proposal is required to approve the Compensation Proposal. Abstentions will have no effect on the Compensation Proposal. Since no routine matters are presented at the Special Meeting, no broker non-votes are expected.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0"/>
        <w:gridCol w:w="125"/>
        <w:gridCol w:w="9990"/>
      </w:tblGrid>
      <w:tr>
        <w:trPr/>
        <w:tc>
          <w:tcPr>
            <w:tcW w:w="90" w:type="dxa"/>
            <w:tcBorders/>
            <w:vAlign w:val="center"/>
          </w:tcPr>
          <w:p>
            <w:pPr>
              <w:pStyle w:val="TableContents"/>
              <w:bidi w:val="0"/>
              <w:spacing w:before="0" w:after="283"/>
              <w:jc w:val="both"/>
              <w:rPr/>
            </w:pPr>
            <w:r>
              <w:rPr/>
              <w:t xml:space="preserve">  </w:t>
            </w:r>
          </w:p>
        </w:tc>
        <w:tc>
          <w:tcPr>
            <w:tcW w:w="125" w:type="dxa"/>
            <w:tcBorders/>
            <w:vAlign w:val="center"/>
          </w:tcPr>
          <w:p>
            <w:pPr>
              <w:pStyle w:val="TableContents"/>
              <w:bidi w:val="0"/>
              <w:spacing w:before="0" w:after="283"/>
              <w:jc w:val="both"/>
              <w:rPr/>
            </w:pPr>
            <w:r>
              <w:rPr>
                <w:rFonts w:ascii="Symbol" w:hAnsi="Symbol"/>
                <w:sz w:val="20"/>
              </w:rPr>
              <w:t>·</w:t>
            </w:r>
            <w:r>
              <w:rPr/>
              <w:t xml:space="preserve"> </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3: The affirmative vote of a majority of the votes cast by the stockholders present virtually or represented by proxy, voting affirmatively or negatively at the Special Meeting and entitled to vote on the Incentive Plan Proposal is required to approve the Incentive Plan Proposal. Abstention will have no effect on the Incentive Plan Proposal. Since no routine matters are presented at the Special Meeting, no broker non-votes are expected.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0"/>
        <w:gridCol w:w="125"/>
        <w:gridCol w:w="9990"/>
      </w:tblGrid>
      <w:tr>
        <w:trPr/>
        <w:tc>
          <w:tcPr>
            <w:tcW w:w="90" w:type="dxa"/>
            <w:tcBorders/>
            <w:vAlign w:val="center"/>
          </w:tcPr>
          <w:p>
            <w:pPr>
              <w:pStyle w:val="TableContents"/>
              <w:bidi w:val="0"/>
              <w:spacing w:before="0" w:after="283"/>
              <w:jc w:val="both"/>
              <w:rPr/>
            </w:pPr>
            <w:r>
              <w:rPr/>
              <w:t xml:space="preserve">  </w:t>
            </w:r>
          </w:p>
        </w:tc>
        <w:tc>
          <w:tcPr>
            <w:tcW w:w="125" w:type="dxa"/>
            <w:tcBorders/>
            <w:vAlign w:val="center"/>
          </w:tcPr>
          <w:p>
            <w:pPr>
              <w:pStyle w:val="TableContents"/>
              <w:bidi w:val="0"/>
              <w:spacing w:before="0" w:after="283"/>
              <w:jc w:val="both"/>
              <w:rPr/>
            </w:pPr>
            <w:r>
              <w:rPr>
                <w:rFonts w:ascii="Symbol" w:hAnsi="Symbol"/>
                <w:sz w:val="20"/>
              </w:rPr>
              <w:t>·</w:t>
            </w:r>
            <w:r>
              <w:rPr/>
              <w:t xml:space="preserve"> </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4: The affirmative vote of a majority of the votes cast by the stockholders present virtually or represented by proxy, voting affirmatively or negatively at the Special Meeting and entitled to vote on the Adjournment Proposal is required to approve the Adjournment Proposal. Abstentions will have no effect on the Adjournment Proposal. Since no routine matters are presented at the Special Meeting, no broker non-votes are expected.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failure of any stockholder to submit a signed proxy card will have the same effect as a vote “AGAINST” the Sale Proposal but will not have any effect on the Compensation Proposal, Incentive Plan Proposal, or the Adjournment Proposal. If you hold your shares in street name, the failure to instruct your broker, bank or other nominee how to vote your shares will have the same effect as a vote “AGAINST” the Sale Proposal but will not have an effect on the Compensation Proposal, Incentive Plan Proposal, or the Adjournment Proposal. Please vote your proxy so your vote can be counted.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nan_001"/>
      <w:bookmarkEnd w:id="13"/>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(i) each member of the Board and each executive officer of XWELL who holds shares of Common Stock and (ii) American Ventures LLC Series XXIV XWELL (collectively, the “</w:t>
      </w:r>
      <w:r>
        <w:rPr>
          <w:rFonts w:ascii="Times New Roman;Times;Serif" w:hAnsi="Times New Roman;Times;Serif"/>
          <w:b/>
          <w:i w:val="false"/>
          <w:caps w:val="false"/>
          <w:smallCaps w:val="false"/>
          <w:sz w:val="20"/>
        </w:rPr>
        <w:t>Support Parties</w:t>
      </w:r>
      <w:r>
        <w:rPr>
          <w:rFonts w:ascii="Times New Roman;Times;Serif" w:hAnsi="Times New Roman;Times;Serif"/>
          <w:b w:val="false"/>
          <w:i w:val="false"/>
          <w:caps w:val="false"/>
          <w:smallCaps w:val="false"/>
          <w:sz w:val="20"/>
        </w:rPr>
        <w:t>”) entered into support agreements with the Buyer (collectively,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Pursuant to the Support Agreements, the Support Parties have agreed, among other things, to vote all of their shares of Common Stock in favor of the approval and adoption of the Purchase Agreement and the Sale, to vote against any alternative transaction, and to be present, virtually or by proxy, at every meeting of Company stockholders (including the Special Meeting and any adjournment, postponement, or rescheduling thereof) for purposes of establishing a quorum. The Support Agreements also impose certain transfer restrictions and non-solicitation obligations on the Support Parties, solely in their capacity as stockholders of XWELL. XWELL is not a party to the Support Agreements but is an express third-party beneficiary thereof. If the Special Meeting is adjourned, the Support Parties’ voting obligations will apply at the adjourned meeting, and any proxies previously submitted by the Support Parties will remain valid and be voted at the adjourned meeting in accordance with their prior instructions without requiring any new proxy submission, voting instruction, or other affirmative action by any Support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the Support Parties beneficially owned, in the aggregate, approximately 28.1% of the outstanding shares of Common Stock entitled to vote at the Special Meeting. In addition, American Ventures LLC Series XXIV XWELL agreed, pursuant to its Support Agreement, to increase its maximum beneficial ownership threshold under its Series H Convertible Preferred Stock to 9.99% and to convert its Series H Convertible Preferred Stock into shares of Common Stock prior to the Record Date, so that the shares of Common Stock issuable upon such conversion may be voted at the Special Meeting. On July 7, 2026, in accordance with its Support Agreement, American Ventures LLC Series XXIV XWELL notified the Company that it was increasing its beneficial ownership threshold to 9.99%, and, on September 8, 2026, American Ventures LLC Series XXIV XWELL notified the Company that it was converting a portion of its Series H Preferred into 993,617 shares of Common Stock. As of the Record Date, such shares represented approximately 9.97% of the issued and outstanding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sp_012"/>
      <w:bookmarkEnd w:id="14"/>
      <w:r>
        <w:rPr>
          <w:rFonts w:ascii="Times New Roman;Times;Serif" w:hAnsi="Times New Roman;Times;Serif"/>
          <w:b/>
          <w:i w:val="false"/>
          <w:caps w:val="false"/>
          <w:smallCaps w:val="false"/>
          <w:sz w:val="20"/>
        </w:rPr>
        <w:t>Voting and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item of business to come before the Special Meeting, you may vote “FOR”, “AGAINST”, or “ABSTAIN”. You may vote using any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83"/>
              <w:jc w:val="both"/>
              <w:rPr/>
            </w:pPr>
            <w:r>
              <w:rPr>
                <w:rFonts w:ascii="Symbol" w:hAnsi="Symbol"/>
                <w:sz w:val="20"/>
              </w:rPr>
              <w:t>·</w:t>
            </w:r>
            <w:r>
              <w:rPr/>
              <w:t xml:space="preserve"> </w:t>
            </w:r>
          </w:p>
        </w:tc>
        <w:tc>
          <w:tcPr>
            <w:tcW w:w="10068" w:type="dxa"/>
            <w:tcBorders/>
            <w:vAlign w:val="center"/>
          </w:tcPr>
          <w:p>
            <w:pPr>
              <w:pStyle w:val="TableContents"/>
              <w:bidi w:val="0"/>
              <w:spacing w:before="0" w:after="283"/>
              <w:jc w:val="both"/>
              <w:rPr/>
            </w:pPr>
            <w:r>
              <w:rPr>
                <w:rFonts w:ascii="Times New Roman;Times;Serif" w:hAnsi="Times New Roman;Times;Serif"/>
                <w:b/>
                <w:sz w:val="20"/>
              </w:rPr>
              <w:t>Voting Via the Internet</w:t>
            </w:r>
            <w:r>
              <w:rPr>
                <w:rFonts w:ascii="Times New Roman;Times;Serif" w:hAnsi="Times New Roman;Times;Serif"/>
                <w:sz w:val="20"/>
              </w:rPr>
              <w:t>: You may vote via the Internet by following the proxy card. Go to </w:t>
            </w:r>
            <w:r>
              <w:rPr>
                <w:rFonts w:ascii="Times New Roman;Times;Serif" w:hAnsi="Times New Roman;Times;Serif"/>
                <w:i/>
                <w:sz w:val="20"/>
              </w:rPr>
              <w:t>www.AALvote.com/XWELSM</w:t>
            </w:r>
            <w:r>
              <w:rPr>
                <w:rFonts w:ascii="Times New Roman;Times;Serif" w:hAnsi="Times New Roman;Times;Serif"/>
                <w:sz w:val="20"/>
              </w:rPr>
              <w:t> and have your proxy card. The Internet voting facilities will close at 11:59 p.m. Eastern Time on October 27, 2026.</w:t>
            </w:r>
            <w:r>
              <w:rPr/>
              <w:t xml:space="preserve"> </w:t>
            </w:r>
          </w:p>
        </w:tc>
      </w:tr>
      <w:tr>
        <w:trPr/>
        <w:tc>
          <w:tcPr>
            <w:tcW w:w="137" w:type="dxa"/>
            <w:tcBorders/>
            <w:vAlign w:val="center"/>
          </w:tcPr>
          <w:p>
            <w:pPr>
              <w:pStyle w:val="TableContents"/>
              <w:bidi w:val="0"/>
              <w:spacing w:before="0" w:after="283"/>
              <w:jc w:val="both"/>
              <w:rPr/>
            </w:pPr>
            <w:r>
              <w:rPr/>
              <w:t> </w:t>
            </w:r>
          </w:p>
        </w:tc>
        <w:tc>
          <w:tcPr>
            <w:tcW w:w="10068" w:type="dxa"/>
            <w:tcBorders/>
            <w:vAlign w:val="center"/>
          </w:tcPr>
          <w:p>
            <w:pPr>
              <w:pStyle w:val="TableContents"/>
              <w:bidi w:val="0"/>
              <w:spacing w:before="0" w:after="283"/>
              <w:jc w:val="both"/>
              <w:rPr/>
            </w:pPr>
            <w:r>
              <w:rPr/>
              <w:t> </w:t>
            </w:r>
          </w:p>
        </w:tc>
      </w:tr>
      <w:tr>
        <w:trPr/>
        <w:tc>
          <w:tcPr>
            <w:tcW w:w="137" w:type="dxa"/>
            <w:tcBorders/>
            <w:vAlign w:val="center"/>
          </w:tcPr>
          <w:p>
            <w:pPr>
              <w:pStyle w:val="TableContents"/>
              <w:bidi w:val="0"/>
              <w:spacing w:before="0" w:after="283"/>
              <w:jc w:val="both"/>
              <w:rPr/>
            </w:pPr>
            <w:r>
              <w:rPr>
                <w:rFonts w:ascii="Symbol" w:hAnsi="Symbol"/>
                <w:sz w:val="20"/>
              </w:rPr>
              <w:t>·</w:t>
            </w:r>
            <w:r>
              <w:rPr/>
              <w:t xml:space="preserve"> </w:t>
            </w:r>
          </w:p>
        </w:tc>
        <w:tc>
          <w:tcPr>
            <w:tcW w:w="100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w:t>
            </w:r>
            <w:r>
              <w:rPr>
                <w:rFonts w:ascii="Times New Roman;Times;Serif" w:hAnsi="Times New Roman;Times;Serif"/>
                <w:b w:val="false"/>
                <w:i w:val="false"/>
                <w:caps w:val="false"/>
                <w:smallCaps w:val="false"/>
                <w:sz w:val="20"/>
              </w:rPr>
              <w:t xml:space="preserve">: If you received a proxy card by mail, you can vote by completing, signing, dating and promptly returning the enclosed Proxy Card in the postage-paid envelope provided. A completed Proxy Card returned by mail must be received at the address stated on the proxy card before October 28, 2026. If you sign the enclosed Proxy Card but do not specify how you want your shares voted, they will be voted in accordance with the Board’s recommendations as described in this Proxy Statement. </w:t>
            </w:r>
          </w:p>
        </w:tc>
      </w:tr>
      <w:tr>
        <w:trPr/>
        <w:tc>
          <w:tcPr>
            <w:tcW w:w="137" w:type="dxa"/>
            <w:tcBorders/>
            <w:vAlign w:val="center"/>
          </w:tcPr>
          <w:p>
            <w:pPr>
              <w:pStyle w:val="TableContents"/>
              <w:bidi w:val="0"/>
              <w:spacing w:before="0" w:after="283"/>
              <w:jc w:val="both"/>
              <w:rPr/>
            </w:pPr>
            <w:r>
              <w:rPr/>
              <w:t> </w:t>
            </w:r>
          </w:p>
        </w:tc>
        <w:tc>
          <w:tcPr>
            <w:tcW w:w="10068" w:type="dxa"/>
            <w:tcBorders/>
            <w:vAlign w:val="center"/>
          </w:tcPr>
          <w:p>
            <w:pPr>
              <w:pStyle w:val="TableContents"/>
              <w:bidi w:val="0"/>
              <w:spacing w:before="0" w:after="283"/>
              <w:jc w:val="both"/>
              <w:rPr/>
            </w:pPr>
            <w:r>
              <w:rPr/>
              <w:t> </w:t>
            </w:r>
          </w:p>
        </w:tc>
      </w:tr>
      <w:tr>
        <w:trPr/>
        <w:tc>
          <w:tcPr>
            <w:tcW w:w="137" w:type="dxa"/>
            <w:tcBorders/>
            <w:vAlign w:val="center"/>
          </w:tcPr>
          <w:p>
            <w:pPr>
              <w:pStyle w:val="TableContents"/>
              <w:bidi w:val="0"/>
              <w:spacing w:before="0" w:after="283"/>
              <w:jc w:val="both"/>
              <w:rPr/>
            </w:pPr>
            <w:r>
              <w:rPr>
                <w:rFonts w:ascii="Symbol" w:hAnsi="Symbol"/>
                <w:sz w:val="20"/>
              </w:rPr>
              <w:t>·</w:t>
            </w:r>
            <w:r>
              <w:rPr/>
              <w:t xml:space="preserve"> </w:t>
            </w:r>
          </w:p>
        </w:tc>
        <w:tc>
          <w:tcPr>
            <w:tcW w:w="100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Telephone</w:t>
            </w:r>
            <w:r>
              <w:rPr>
                <w:rFonts w:ascii="Times New Roman;Times;Serif" w:hAnsi="Times New Roman;Times;Serif"/>
                <w:b w:val="false"/>
                <w:i w:val="false"/>
                <w:caps w:val="false"/>
                <w:smallCaps w:val="false"/>
                <w:sz w:val="20"/>
              </w:rPr>
              <w:t xml:space="preserve">: You may vote by telephone by calling (866) 804-9616 and following the instructions on the proxy card, as applicable, available when you call. The telephone voting facilities will close at 11:59 p.m. Eastern Time on October 27, 2026. </w:t>
            </w:r>
          </w:p>
        </w:tc>
      </w:tr>
      <w:tr>
        <w:trPr/>
        <w:tc>
          <w:tcPr>
            <w:tcW w:w="137" w:type="dxa"/>
            <w:tcBorders/>
            <w:vAlign w:val="center"/>
          </w:tcPr>
          <w:p>
            <w:pPr>
              <w:pStyle w:val="TableContents"/>
              <w:bidi w:val="0"/>
              <w:spacing w:before="0" w:after="283"/>
              <w:jc w:val="both"/>
              <w:rPr/>
            </w:pPr>
            <w:r>
              <w:rPr/>
              <w:t> </w:t>
            </w:r>
          </w:p>
        </w:tc>
        <w:tc>
          <w:tcPr>
            <w:tcW w:w="10068" w:type="dxa"/>
            <w:tcBorders/>
            <w:vAlign w:val="center"/>
          </w:tcPr>
          <w:p>
            <w:pPr>
              <w:pStyle w:val="TableContents"/>
              <w:bidi w:val="0"/>
              <w:spacing w:before="0" w:after="283"/>
              <w:jc w:val="both"/>
              <w:rPr/>
            </w:pPr>
            <w:r>
              <w:rPr/>
              <w:t> </w:t>
            </w:r>
          </w:p>
        </w:tc>
      </w:tr>
      <w:tr>
        <w:trPr/>
        <w:tc>
          <w:tcPr>
            <w:tcW w:w="137"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Virtually at the Special Meeting</w:t>
            </w:r>
            <w:r>
              <w:rPr>
                <w:rFonts w:ascii="Times New Roman;Times;Serif" w:hAnsi="Times New Roman;Times;Serif"/>
                <w:sz w:val="20"/>
              </w:rPr>
              <w:t>: You may also vote by attending the virtual Special Meeting. To attend the virtual Special Meeting, you must first pre-register as described under ”</w:t>
            </w:r>
            <w:r>
              <w:rPr>
                <w:rFonts w:ascii="Times New Roman;Times;Serif" w:hAnsi="Times New Roman;Times;Serif"/>
                <w:i/>
                <w:sz w:val="20"/>
              </w:rPr>
              <w:t>How Can Stockholders Attend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Proxies received at any time before the Special Meeting and not revoked or superseded before being voted will be voted at the Special Meeting as indicated. If you return a signed proxy card without indicating your vote, your shares will be voted in accordance with the Board’s recommendations as follows: “FOR” the proposal to approve the Sale, “FOR” the Compensation Proposal, “FOR” the Incentive Plan Proposal, and “FOR” the Board’s discretionary authority to adjourn the Special Meeting to a later date, if necessary or appropriate, to allow for the solicitation of additional proxies.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your shares of Common Stock are held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Sale Proposal, but will not have an effect on the Compensation Proposal, the Incentive Plan Proposal, or the Adjournment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vote using your proxy or voting instruction card, or over the internet (if available to you),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sp_013"/>
      <w:bookmarkEnd w:id="15"/>
      <w:r>
        <w:rPr>
          <w:rFonts w:ascii="Times New Roman;Times;Serif" w:hAnsi="Times New Roman;Times;Serif"/>
          <w:b/>
          <w:i w:val="false"/>
          <w:caps w:val="false"/>
          <w:smallCaps w:val="false"/>
          <w:sz w:val="20"/>
        </w:rPr>
        <w:t>Revocation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
        <w:gridCol w:w="135"/>
        <w:gridCol w:w="9970"/>
      </w:tblGrid>
      <w:tr>
        <w:trPr/>
        <w:tc>
          <w:tcPr>
            <w:tcW w:w="10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tc>
      </w:tr>
      <w:tr>
        <w:trPr/>
        <w:tc>
          <w:tcPr>
            <w:tcW w:w="10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c>
          <w:tcPr>
            <w:tcW w:w="9970" w:type="dxa"/>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283"/>
              <w:jc w:val="both"/>
              <w:rPr/>
            </w:pPr>
            <w:r>
              <w:rPr/>
              <w:t xml:space="preserve">  </w:t>
            </w:r>
          </w:p>
        </w:tc>
        <w:tc>
          <w:tcPr>
            <w:tcW w:w="135" w:type="dxa"/>
            <w:tcBorders/>
            <w:vAlign w:val="center"/>
          </w:tcPr>
          <w:p>
            <w:pPr>
              <w:pStyle w:val="TableContents"/>
              <w:bidi w:val="0"/>
              <w:spacing w:before="0" w:after="283"/>
              <w:jc w:val="both"/>
              <w:rPr/>
            </w:pPr>
            <w:r>
              <w:rPr>
                <w:rFonts w:ascii="Symbol" w:hAnsi="Symbol"/>
                <w:sz w:val="20"/>
              </w:rPr>
              <w:t>·</w:t>
            </w:r>
            <w:r>
              <w:rPr/>
              <w:t xml:space="preserve"> </w:t>
            </w:r>
          </w:p>
        </w:tc>
        <w:tc>
          <w:tcPr>
            <w:tcW w:w="99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Completing and submitting a new valid proxy bearing a later date by Internet or telephone by 11:59 p.m. Eastern Time, on October 27, 2026. </w:t>
            </w:r>
          </w:p>
        </w:tc>
      </w:tr>
      <w:tr>
        <w:trPr/>
        <w:tc>
          <w:tcPr>
            <w:tcW w:w="10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c>
          <w:tcPr>
            <w:tcW w:w="9970" w:type="dxa"/>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283"/>
              <w:jc w:val="both"/>
              <w:rPr/>
            </w:pPr>
            <w:r>
              <w:rPr/>
              <w:t xml:space="preserve">  </w:t>
            </w:r>
          </w:p>
        </w:tc>
        <w:tc>
          <w:tcPr>
            <w:tcW w:w="135" w:type="dxa"/>
            <w:tcBorders/>
            <w:vAlign w:val="center"/>
          </w:tcPr>
          <w:p>
            <w:pPr>
              <w:pStyle w:val="TableContents"/>
              <w:bidi w:val="0"/>
              <w:spacing w:before="0" w:after="283"/>
              <w:jc w:val="both"/>
              <w:rPr/>
            </w:pPr>
            <w:r>
              <w:rPr>
                <w:rFonts w:ascii="Symbol" w:hAnsi="Symbol"/>
                <w:sz w:val="20"/>
              </w:rPr>
              <w:t>·</w:t>
            </w:r>
            <w:r>
              <w:rPr/>
              <w:t xml:space="preserve"> </w:t>
            </w:r>
          </w:p>
        </w:tc>
        <w:tc>
          <w:tcPr>
            <w:tcW w:w="99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Giving written notice of revocation by mail to the Company addressed to the Corporate Secretary, at our address above, which notice must be received before 5:00 p.m. Eastern Time, on October 27, 2026.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sp_014"/>
      <w:bookmarkEnd w:id="16"/>
      <w:r>
        <w:rPr>
          <w:rFonts w:ascii="Times New Roman;Times;Serif" w:hAnsi="Times New Roman;Times;Serif"/>
          <w:b/>
          <w:i w:val="false"/>
          <w:caps w:val="false"/>
          <w:smallCaps w:val="false"/>
          <w:sz w:val="20"/>
        </w:rPr>
        <w:t>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in your own name,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no later than 11:59 p.m. Eastern Time on October 27, 2026, and registering for the meeting exactly as your registration appears on your proxy card. You must provide a valid email address to register and to vote at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no later than 11:59 p.m. Eastern Time on October 27, 2026, and following the instructions on the website. After registering, you may be asked to provide proof of ownership and, if applicable, a legal proxy, before being approved for attendance at the meeting. You must provide a valid email address to register and to vote at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sp_015"/>
      <w:bookmarkEnd w:id="17"/>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the proxy statement, the proxy card and the notice,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$15,000 for its services in connection with the solicitation of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sp_016"/>
      <w:bookmarkEnd w:id="18"/>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we know of no other matters to be submitted to our stockholders at the Special Meeting. If any other matters properly come before the Special Meeting in which your proxy has provided discretionary authority, your shares of Common Stock will be voted in accordance with the discretion of the persons named on the enclosed proxy card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a_001"/>
      <w:bookmarkEnd w:id="19"/>
      <w:r>
        <w:rPr>
          <w:rFonts w:ascii="Times New Roman;Times;Serif" w:hAnsi="Times New Roman;Times;Serif"/>
          <w:b/>
          <w:i w:val="false"/>
          <w:caps w:val="false"/>
          <w:smallCaps w:val="false"/>
          <w:sz w:val="20"/>
        </w:rPr>
        <w:t>DESCRIPTION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Purchase Agreement. This summary does not purport to describe all the terms of the Purchase Agreement and is qualified in its entirety by reference to the full text of the Purchase Agreement, which is attached as Annex A. We urge you to read the Purchase Agreement carefully and in its entirety because it, and not the summary set forth in this Proxy Statement, is the legal document that governs the Sale. All initially capitalized terms contained herein that are not defined herein are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representations, warranties, and covenants contained in the Purchase Agreement were made only for purposes of the Purchase Agreement as of specific dates and may be subject to more recent developments. Such representations, warranties and covenants were made solely for the benefit of the parties to the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 without also consulting the information and disclosures provided elsewhere in this Proxy Statement or in our other public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0" w:name="sa_002"/>
      <w:bookmarkEnd w:id="20"/>
      <w:r>
        <w:rPr>
          <w:rFonts w:ascii="Times New Roman;Times;Serif" w:hAnsi="Times New Roman;Times;Serif"/>
          <w:b/>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sale, assignment, transfer, and conveyance by XWELL, Inc.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to Express Wellness Group, LLC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of the equity interests of XpresSpa Holdings, LLC and XpresTest, Inc. (each, a “</w:t>
      </w:r>
      <w:r>
        <w:rPr>
          <w:rFonts w:ascii="Times New Roman;Times;Serif" w:hAnsi="Times New Roman;Times;Serif"/>
          <w:b/>
          <w:i w:val="false"/>
          <w:caps w:val="false"/>
          <w:smallCaps w:val="false"/>
          <w:sz w:val="20"/>
        </w:rPr>
        <w:t>Divestiture 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Divestiture Companies</w:t>
      </w:r>
      <w:r>
        <w:rPr>
          <w:rFonts w:ascii="Times New Roman;Times;Serif" w:hAnsi="Times New Roman;Times;Serif"/>
          <w:b w:val="false"/>
          <w:i w:val="false"/>
          <w:caps w:val="false"/>
          <w:smallCaps w:val="false"/>
          <w:sz w:val="20"/>
        </w:rPr>
        <w:t>,” and such equity interests, the “</w:t>
      </w:r>
      <w:r>
        <w:rPr>
          <w:rFonts w:ascii="Times New Roman;Times;Serif" w:hAnsi="Times New Roman;Times;Serif"/>
          <w:b/>
          <w:i w:val="false"/>
          <w:caps w:val="false"/>
          <w:smallCaps w:val="false"/>
          <w:sz w:val="20"/>
        </w:rPr>
        <w:t>Purchased Equity</w:t>
      </w:r>
      <w:r>
        <w:rPr>
          <w:rFonts w:ascii="Times New Roman;Times;Serif" w:hAnsi="Times New Roman;Times;Serif"/>
          <w:b w:val="false"/>
          <w:i w:val="false"/>
          <w:caps w:val="false"/>
          <w:smallCaps w:val="false"/>
          <w:sz w:val="20"/>
        </w:rPr>
        <w:t>”), the Purchase Agreement provides for a purchase price equal to (i) the base purchase price of $13,000,000, plus or minus (ii) the extent to which the Divestiture Group’s estimated closing net working capital is greater or less than a target net working capital amount, minus (iii) the amount of the Divestiture Group’s estimated closing indebtedness, minus (iv) unpaid sale expenses, plus (v) the amount of the Divestiture Group’s estimated closing cash. The target net working capital amount is $1,472,000, and the net working capital adjustment is subject to a $150,000 tipping collar.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Buyer will pay to Seller the Estimated Purchase Price, less amounts deposited into escrow, as follows: (i) $750,000 will be deposited into an adjustment escrow account to fund any post-closing downward adjustment to the purchase price; (ii) $1,650,000 will be deposited into an indemnity escrow account to fund potential post-closing indemnification claims; and (iii) $250,000 will be deposited into a separate escrow account relating to a final arbitration award issued on June 3, 2026 with respect to the dispute between XpresSpa Holdings, LLC and Cordial Endeavor Concessions of Atlanta LLC and Sheila Trappier Edwards. Amounts owed in respect of the Divestiture Group’s closing indebtedness and unpaid sale expenses will be paid directly to the applicable payees at closing, and the balance of the Estimated Purchase Price will be paid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1" w:name="sa_003"/>
      <w:bookmarkEnd w:id="21"/>
      <w:r>
        <w:rPr>
          <w:rFonts w:ascii="Times New Roman;Times;Serif" w:hAnsi="Times New Roman;Times;Serif"/>
          <w:b/>
          <w:i/>
          <w:caps w:val="false"/>
          <w:smallCaps w:val="false"/>
          <w:sz w:val="20"/>
        </w:rP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will take place remotely on the date that is two business days after the date on which the last of the closing conditions is satisfied or waived, other than conditions that by their terms cannot be satisfied until closing, or at such other place, date and time as Seller and Buyer mutually agree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 w:name="sa_004"/>
      <w:bookmarkEnd w:id="22"/>
      <w:r>
        <w:rPr>
          <w:rFonts w:ascii="Times New Roman;Times;Serif" w:hAnsi="Times New Roman;Times;Serif"/>
          <w:b/>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made representations and warranties relating to the Divestiture Group,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organization of the Divestiture Companies, their authority to enter into and perform the Purchase Agreement, and absence of conflicts with organizational documents, applicable law, or material contracts;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capitalization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subsidiaries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accuracy of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certain material changes or developments in the Business since a specified balance sheet date;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compliance with applicable laws;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material litigation involving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employment and labor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benefits maintained by Seller and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intellectual property rights;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information technology, systems, data privacy, and security practices;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material contracts;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coverage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property leased or used by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title to material assets;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product warranties, inventories, and product liability matters;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related party transactions between the Divestiture Group and Seller, or Seller’s employees, officers, directors or affiliates;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relationships with Divestiture Group’s material suppliers;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Seller or any member of the Divestiture Group in connection with the Sale;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sufficiency of Divestiture Group’s assets to conduct the Business after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ACDBE and local partner joint ventures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licenses and permits required to operate the business and compliance with applicable public health and safety requirements;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compliance applicable to XpresTest Business;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products and services liability and consumer protection matters;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waivers and participant release agreements used in the Business;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gift card, loyalty, and membership programs offered by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holding company status of certain subsidiaries;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bank accounts maintained by the Divestiture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Seller made representations and warranties relating to the Seller,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5"/>
        <w:gridCol w:w="10037"/>
      </w:tblGrid>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authority to enter into and performance of the Purchase Agreement;</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title to the Purchased Equity;</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conflicts with organizational documents, applicable law, or material contracts;</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litigation challenging the Sale;</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the Seller or its affiliates in connection with the Sale; and</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independent investigation of the Buyer.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made representations and warranties relating to the following matters,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organization of the Buyer;</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Buyer’s authority to enter into and perform the Purchase Agreement, and absence of conflicts;</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litigation that would impair the Buyer’s ability to consummate the Sale;</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Buyer’s financial ability to consummate the Sale; and</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the Buyer or its affiliates in connection with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in the Purchase Agreement generally survive for 18 months after the closing date, except that fundamental representations survive for seven years, tax representations survive until 60 days after the expiration of the longest applicable statute of limitations, and claims for actual fraud survive indefinitely and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 w:name="sa_005"/>
      <w:bookmarkEnd w:id="23"/>
      <w:r>
        <w:rPr>
          <w:rFonts w:ascii="Times New Roman;Times;Serif" w:hAnsi="Times New Roman;Times;Serif"/>
          <w:b/>
          <w:i/>
          <w:caps w:val="false"/>
          <w:smallCaps w:val="false"/>
          <w:sz w:val="20"/>
        </w:rPr>
        <w:t>Conduct of the Divestiture Group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earlier of closing or termination of the Purchase Agreement, except as otherwise expressly required by the Purchase Agreement or the other transaction documents, consented to by Buyer, set forth in the applicable annex, required by law or governmental authority, or required to complete the pre-closing reorganization, the Divestiture Companies agreed to cause the Divestiture Group to use their respective reasonable best efforts to (a) conduct the business in the ordinary course consistent with past practice in all material respects, (b) preserve intact the business organization, assets, properties, permits and insurance policies of the Divestiture Group, (c) preserve the rights, goodwill and relationships of employees and other third persons having business relationships with the Divestiture Group, (d) keep available the services of current officers and key employees, and (e) subject to certain exceptions, not to take any of the following actions: failing to pay debts, taxes and obligations when due; failing to maintain properties and assets in all material respects; failing to perform material obligations under contracts, permits and insurance policies; failing to comply with applicable laws; entering into or modifying real property leases (except to preserve any express right set forth in the applicable real property leases), material contracts or permits; imposing liens upon material assets of the Divestiture Group; making capital expenditures above specified thresholds; incurring indebtedness; issuing equity; changing accounting methods; settling certain actions; entering into affiliate transactions; changing compensation and benefits; hiring or terminating certain employees; failing to maintain insurance policies; making material tax elections or changes; winding up or dissolving any member of the Divestiture Group; taking actions reasonably expected to result in a material adverse effect; or making certain changes to customer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 w:name="sa_006"/>
      <w:bookmarkEnd w:id="24"/>
      <w:r>
        <w:rPr>
          <w:rFonts w:ascii="Times New Roman;Times;Serif" w:hAnsi="Times New Roman;Times;Serif"/>
          <w:b/>
          <w:i/>
          <w:caps w:val="false"/>
          <w:smallCaps w:val="false"/>
          <w:sz w:val="20"/>
        </w:rPr>
        <w:t>Restrictions on Solicitation or Negotiation of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pendency of the Purchase Agreement, Seller, the Divestiture Companies and their respective Affiliates will not, and Seller and the Divestiture Companies will instruct and cause their respective directors, officers, employees and other representatives not to, directly or indirectly solicit, initiate, knowingly encourage or knowingly facilitate inquiries or proposals from, discuss or negotiate with, or provide any non-public information to any Person (other than Buyer and its Affiliates) regarding any merger, consolidation, sale of equity, sale of substantially all assets, business combination or similar transaction involving the Divestiture Group or any portion of the Business, or any proposal or offer reasonably expected to lead to such an alternative transaction. Seller and the Divestiture Companies also agreed not to engage in discussions or negotiations regarding, furnish non-public information with respect to, or take any action to knowingly facilitate the making of, any proposal or offer that constitutes or would reasonably be expected to lead to any alternative transactions, or enter into any letter of intent, memorandum of understanding, agreement in principle, merger agreement, acquisition agreement or similar agreement relating to any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restrictions, prior to receipt of the Company stockholder approval, Seller may furnish information to, and negotiate or engage in discussions with, a person who delivers a bona fide written proposal for an alternative transaction that was not solicited after the date of the Purchase Agreement, if the Seller board determines in good faith, after consultation with outside legal counsel, that failure to take such action would reasonably be expected to result in a breach of the directors’ fiduciary duties and that the proposal constitutes, or would reasonably be expected to lead to, a Superior Proposal. The Purchase Agreement defines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generally as an alternative transaction proposal that the Seller board determines in good faith is more favorable from a financial point of view to Seller’s stockholders than the transactions contemplated by the Purchase Agreement and is reasonably likely to be consummated on the proposed terms, taking into account legal, regulatory, financial, timing, financing and other aspects of the proposal and the Purchase Agreement. Before furnishing any information or engaging in discussions with any such third party, XWELL must provide notice to Buyer of its intention to do so, and a copy of any written inquiry, proposal or offer and, in such instance, XWELL must keep Buyer informed of the status and details, including any material developments, in respect of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may effect an adverse recommendation change and terminate the Purchase Agreement in response to an unsolicited Superior Proposal before the Company stockholder approval if it determines in good faith, after consultation with outside legal counsel, that failure to do so would result in a breach of the directors’ fiduciary duties under applicable law. Prior to effecting an adverse recommendation change in response to a Superior Proposal, Seller must provide Buyer three business days’ prior written notice and, if requested by Buyer, negotiate in good faith with Buyer regarding amendments to the Purchase Agreement. The Seller board may also effect an adverse recommendation change before the Company stockholder approval in response to an intervening event if it determines in good faith, after consultation with outside legal counsel, that failure to do so would be inconsistent with the directors’ fiduciary duties under applicable law. Prior to effecting such an adverse recommendation change, Seller must provide Buyer five business days’ prior written notice and, if requested by Buyer, negotiate in good faith with Buyer regarding amendments to the Purchase Agreement (and, if there is any material change to the facts or circumstances relating to the intervening event, Seller must deliver a new written notice to Buyer and the five business day negotiation period will recommence).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 w:name="sa_007"/>
      <w:bookmarkEnd w:id="25"/>
      <w:r>
        <w:rPr>
          <w:rFonts w:ascii="Times New Roman;Times;Serif" w:hAnsi="Times New Roman;Times;Serif"/>
          <w:b/>
          <w:i/>
          <w:caps w:val="false"/>
          <w:smallCaps w:val="false"/>
          <w:sz w:val="20"/>
        </w:rPr>
        <w: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and among other things, the Purchase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Group to use reasonable best efforts to obtain required lease consents prior to closing and to keep Buyer informed regarding those efforts.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the Divestiture Group to purchase six-year “tail” or “run off” insurance policies covering directors’ and officers’ liability, employment practices liability and fiduciary liability with respect to current and former directors, officers, managers and employees of the Divestiture Group for matters existing or occurring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to prepare and file a preliminary proxy statement with the SEC as promptly as practicable, and in any event within 20 days after the date of the Purchase Agreement, subject to Buyer’s review and comment rights, and to call and hold a stockholder meeting as promptly as reasonably practicable following mailing of the proxy statement, and in any event no later than 100 days after the date of the Purchase Agreement, subject to certain postponement and adjournment rights.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its controlled affiliates to comply with post-closing restrictive covenants, including confidentiality, non-competition, non-solicitation, and non-disparagement.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Companies to complete a pre-closing reorganization so that, among other things, assets used in or necessary for the XpresSpa Airport Business and XpresTest Business are transferred to the appropriate Divestiture Companies, specified retained assets are transferred out of the Divestiture Group, and retained entities are transferred out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Group to use reasonable best efforts to comply with a specified pre-existing arbitration award, including identifying a qualified replacement ACDBE partner, entering into new lease and concession agreements for certain Atlanta locations, and dissolving specified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 w:name="anan_002"/>
      <w:bookmarkEnd w:id="26"/>
      <w:r>
        <w:rPr>
          <w:rFonts w:ascii="Times New Roman;Times;Serif" w:hAnsi="Times New Roman;Times;Serif"/>
          <w:b/>
          <w:i/>
          <w:caps w:val="false"/>
          <w:smallCaps w:val="false"/>
          <w:sz w:val="20"/>
        </w:rPr>
        <w:t>Financing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the Buyer had not obtained a debt commitment letter or an equity commitment letter with respect to the financing of the Sale. The Buyer has agreed to use its reasonable best efforts to arrange and consummate debt financing and equity financing on commercially reasonable terms and in an aggregate amount sufficient to fund the transactions contemplated by the Purchase Agreement. The Buyer’s obligation to consummate the Sale is not conditioned on its receipt of financing. Since the date of the Purchase Agreement, the Company has been informed by the Buyer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timely closing. There can be no assurance, however, that the Buyer will obtain definitive financing commitments or that the financing will be consummated. For more information, see “Risk Factors—The Buyer’s obligation to close is not conditioned on the Buyer having obtained financing, but our ability to compel Buyer to close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 w:name="sa_008"/>
      <w:bookmarkEnd w:id="27"/>
      <w:r>
        <w:rPr>
          <w:rFonts w:ascii="Times New Roman;Times;Serif" w:hAnsi="Times New Roman;Times;Serif"/>
          <w:b/>
          <w:i/>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Seller’s and the Divestiture Companies’ obligations to consummate the Sale are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action shall have been commenced by a person other than the parties or their controlled affiliates, and no order shall have been issued by a court or governmental authority of competent jurisdiction, that would reasonably be expected to prevent, delay or impede, or otherwise make illegal, the consummation of the transactions contemplated by the Purchase Agreement or another transaction document;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stockholder approval shall have been obtained in accordance with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obligations to consummate the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fundamental representations of Seller in the Agreement must be true and correct in all respects, subject to de minimis inaccuracies, and the other Seller representations and warranties must be true and correct except for inaccuracies that would not reasonably be expected to result in a material adverse effect;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each Divestiture Company must have performed or complied in all material respects with all covenants and obligations required to be performed by them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each Divestiture Company must have delivered a closing certificate confirming satisfaction of specified conditions;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the Divestiture Companies must have delivered the closing deliverables required under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the Divestiture Companies must have delivered specified consents and obtained and delivered each required lease consent in form and substance reasonably satisfactory to Buyer;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material adverse effect must have occurred since the date of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pre-closing reorganization must have been completed in accordance with the Purchase Agreement;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Divestiture Group must hold cash and cash equivalents in bank accounts across all jurisdictions of at least $1,500,000, and cash and cash equivalents in bank accounts in each non-U.S. jurisdiction of at least $250,000.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and the Divestiture Companies’ obligations to consummate the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fundamental representations of Buyer in the Agreement must be true and correct in all respects, subject to de minimis inaccuracies, and the other Buyer representations and warranties must be true and correct except for inaccuracies that would not reasonably be expected to prevent, materially delay or impede Buyer’s consummation of the transactions contemplated by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performed or complied in all material respects with all covenants and obligations required to be performed by it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delivered a closing certificate confirming satisfaction of specified conditions;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delivered the closing deliverables required under the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 w:name="sa_009"/>
      <w:bookmarkEnd w:id="28"/>
      <w:r>
        <w:rPr>
          <w:rFonts w:ascii="Times New Roman;Times;Serif" w:hAnsi="Times New Roman;Times;Serif"/>
          <w:b/>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may be terminated at any time prior to closing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mutual written consent of Seller and Buyer;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the Sale has not been consummated before the 180th day following the date of the Purchase Agreement, subject to up to two automatic 30-day extensions if the Company stockholder approval is the sole unsatisfied condition, and subject to limitations where the terminating party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if Buyer breaches its representations, warranties, covenants or agreements in a manner that would cause a failure of the applicable closing conditions and such breach is incurable or remains uncured for at least five business days after notice, subject to limitations where Seller or a Divestiture Company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Buyer if Seller or any Divestiture Company breaches its representations, warranties, covenants or agreements in a manner that would cause a failure of the applicable closing conditions and such breach is incurable or remains uncured for at least five business days after notice, subject to limitations where Buyer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Buyer, prior to the Company stockholder approval, if the Seller board fails to include the Board Recommendation in the proxy statement, effects an adverse recommendation change, fails to publicly reaffirm the Board Recommendation within five business days after Buyer’s written request, fails to convene the stockholder meeting by the meeting backstop date, fails to obtain required support agreements, or fails to cure certain support agreement breaches or ineffectiveness;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prior to the Company stockholder approval, in order to enter into a definitive agreement with respect to a Superior Proposal, provided Seller pays Buyer the Buyer Termination Fee and the Superior Proposal was not solicited in violation of the no-negotiation covenant;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a governmental authority issues a final, non-appealable order enjoining or otherwise prohibiting the Sale, subject to specified limitations;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the stockholder meeting, including any postponements and adjournments, concludes without the Company stockholder approval having been obtained, subject to specified limitations; or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if all closing conditions have been satisfied or waived, Buyer fails to consummate the closing when required, Seller confirms that it is ready, willing and able to close, and Buyer fails to close within five business days after such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 w:name="sa_010"/>
      <w:bookmarkEnd w:id="29"/>
      <w:r>
        <w:rPr>
          <w:rFonts w:ascii="Times New Roman;Times;Serif" w:hAnsi="Times New Roman;Times;Serif"/>
          <w:b/>
          <w:i/>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required to pay Buyer a termination fee equal to the greater of (A) $1,300,000 and (B) $650,000 plus the Buyer’s documented out-of-pocket expenses (capped at $2,000,000 for expenses), if the Purchase Agreement is terminated in certain circumstances, including an adverse recommendation change, support agreement failure, stockholder approval failure, Seller breach, certain end-date terminations, and the consummation of an alternative transaction within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required to pay Seller a termination fee equal to the greater of (A) $1,300,000 and (B) $650,000 plus the Seller’s documented out-of-pocket expenses (capped at $2,000,000 for expenses), if the Purchase Agreement is terminated for certain Buyer breaches, or for Buyer’s failure to close after all conditions have been satisfied or waived and Seller has delivered the required closing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 w:name="anan_003"/>
      <w:bookmarkEnd w:id="30"/>
      <w:r>
        <w:rPr>
          <w:rFonts w:ascii="Times New Roman;Times;Serif" w:hAnsi="Times New Roman;Times;Serif"/>
          <w:b/>
          <w:i/>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Face Haus LLC, a Delaware limited liability company and the parent entity of the Buyer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delivered a limited guaranty in favor of Seller (the “</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Pursuant to the Limited Guaranty, the Guarantor unconditionally and irrevocably guarantees the due and punctual payment and performance of certain obligations of the Buyer, including (i) payment of the Seller Termination Fee (as, if and when due), (ii) payment or reimbursement of financing cooperation expenses payable by Buyer pursuant to the Purchase Agreement, (iii) certain other amounts that may become payable by Buyer upon termination of the Purchase Agreement, and (iv) payment of any monetary damages resulting from a willful breach by the Buyer of its obligation to obtain debt financing under the Purchase Agreement. The Guarantor’s aggregate liability under the Limited Guaranty with respect to the Seller Termination Fee is capped at an amount equal to the Seller Termination Fee, and the Guarantor’s total aggregate liability under the Limited Guaranty may not exceed the Purchase Price. The Limited Guaranty will expire upon the closing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Limited Guaranty is qualified in its entirety by reference to the complete text of the Limited Guaranty, a copy of which is attached as Annex B to this Proxy Statement, and you are encouraged to read the Limited Guaranty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 w:name="anan_004"/>
      <w:bookmarkEnd w:id="31"/>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Seller has agreed to indemnify Buyer and its affiliates (including, following the closing, the Divestiture Group) for losses arising from, among other things, breaches of Seller’s representations and warranties, breaches of covenants, unpaid sale expenses or indebtedness of the Divestiture Group not deducted from the final Purchase Price, certain tax matters, the XpresTest RSAs, and the Retained Ex-Airport Business and other assets retained by Seller following Closing. Buyer has agreed to indemnify Seller and its affiliates for losses arising from, among other things, breaches of Buyer’s representations and warranties, breaches of Buyer’s covenants, and certain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is required to indemnify the other for losses arising from breaches of general (non-fundamental) representations and warranties until the aggregate amount of such losses exceeds $100,000, at which point the indemnifying party must indemnify the full amount of such losses from the first dollar. Individual claims (or series of related claims) below $10,000 do not count toward this threshold. Once the threshold and per-claim minimum are satisfied, general representation and warranty claims are subject to an aggregate cap of $2,000,000. These limitations do not apply to claims arising from fundamental representations, the representations relating to tax matters, environmental matters, or information technology, privacy and data security, or from actual fraud, for which the applicable cap (other than for fraud, which is uncapped) is the Purchase Price. The Buyer is required to first seek recovery from the indemnity escrow funds before making direct claims against Seller for general representation and warranty claims. Except for certain claims for equitable relief and certain purchase price adjustment and set-off rights, these indemnification provisions are the parties’ exclusive remedy for losses arising under the Purchase Agreement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govern the respective rights, responsibilities, and obligations of the Company and the Buyer with respect to taxes and tax benefits, the preparation and filing of tax returns, the control of tax contests and audits, and certain other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XpresTest is classified as a C corporation and a member of the consolidated group of which the Company is the common parent, and (b) XpresSpa is classified as an entity disregarded as separate from the Company. Pursuant to the Purchase Agreement, the Company and the Buyer will make a joint election under Section 336(e) of the Code to treat the sale of the Purchased Equity with respect to XpresTest (and any eligible corporate subsidiaries of XpresSpa) as an asset sale. The sale of the Purchased Equity with respect to XpresSpa will also be treated as an asset sale due to its status as a disregarded entity. Accordingly, the Sale will be treated for tax purposes as the sale of all of the assets of the Target Companies (and the assets of any subsidiaries that are disregarded entities), including any equity interests in subsidiaries that are not wholly-owned or that are foreign corporations for U.S.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prepare an initial allocation of the Purchase Price, first between XpresTest and XpresSpa in accordance with their relative fair market values. The Company will further allocate the portion of the Purchase Price allocated to XpresTest among the assets of XpresTest and the portion of the Purchase Price allocated to XpresSpa among (1) equity interests of subsidiaries that are foreign corporations or partnerships for tax purposes, and (2) any other assets of XpresSpa, any of its subsidiaries that are disregarded for tax purposes, and any of its subsidiaries with respect to which a 336(e) election is available. The allocation will be prepared in accordance with an agreed methodology, and the Buyer will have the opportunity to review and comment on the allocation before it is finalized.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taxable gain or loss on the deemed sale of assets for tax purposes equal to the difference between (1) the amount realized (consisting of the Purchase Price and applicable liabilities for tax purposes) in the Sale and (2) the aggregate adjusted tax basis of the assets treated as being sold in the deemed asset sale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Pre-Closing Reorganization is not expected to have any current tax impact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will generally bear, and indemnify the Buyer and each of its affiliates against, (1) pre-closing taxes of the Target Companies or their subsidiaries, (2) pre-closing and post-closing taxes of the Company, (3) taxes of any member of an affiliated, consolidated, combined or unitary group of which the Target Companies or their subsidiaries were members prior to Closing, (4) taxes imposed on the Target Companies or their subsidiaries as transferees or successors in respect of pre-closing transactions, (5) taxes attributable to the Pre-Closing Reorganization (if any), and (6) post-closing taxes of the Target Companies or their subsidiaries attributable to pre-closing operations or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 w:name="anan_005"/>
      <w:bookmarkEnd w:id="32"/>
      <w:r>
        <w:rPr>
          <w:rFonts w:ascii="Times New Roman;Times;Serif" w:hAnsi="Times New Roman;Times;Serif"/>
          <w:b/>
          <w:i/>
          <w:caps w:val="false"/>
          <w:smallCaps w:val="false"/>
          <w:sz w:val="20"/>
        </w:rPr>
        <w:t>Certain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(i) each member of the Board and each executive officer of Seller who holds shares of Common Stock and (ii) American Ventures LLC Series XXIV XWELL entered into Support Agreements with the Buyer, as described under “The Special Meeting—Support Agreements.” In connection with the closing of the Sale, the parties will also enter into a Transition Services Agreement, pursuant to which certain services will be provided following the Closing for a limited period, and an Escrow Agreement with Citibank, N.A., as escrow agent, governing the escrow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 w:name="anan_006"/>
      <w:bookmarkEnd w:id="33"/>
      <w:r>
        <w:rPr>
          <w:rFonts w:ascii="Times New Roman;Times;Serif" w:hAnsi="Times New Roman;Times;Serif"/>
          <w:b/>
          <w:i/>
          <w:caps w:val="false"/>
          <w:smallCaps w:val="false"/>
          <w:sz w:val="20"/>
        </w:rPr>
        <w:t>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are entitled to seek specific performance and other equitable relief to prevent breaches of the Purchase Agreement and to enforce its terms, in addition to any other remedies available at law or in equity. However, the right of Seller and the Divestiture Companies to seek specific performance to compel the Buyer to consummate the closing is subject to additional conditions, including that all of the closing conditions (other than those to be satisfied at closing) have been satisfied or waived, that the proceeds of the Buyer’s debt financing have been received in full by the Buyer or the applicable debt financing sources have irrevocably confirmed in writing that such proceeds will be, and are in fact, funded at closing, and that Seller and the Divestiture Companies have irrevocably confirmed in writing that all conditions to their obligations to close have been satisfied or waived and that they will consummate the closing if specific performance is granted. If Seller or the Divestiture Companies bring an action to enforce specific performance of the Purchase Agreement prior to closing, the Termination Date will automatically be extended for the duration of such action,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 w:name="sa_011"/>
      <w:bookmarkEnd w:id="34"/>
      <w:r>
        <w:rPr>
          <w:rFonts w:ascii="Times New Roman;Times;Serif" w:hAnsi="Times New Roman;Times;Serif"/>
          <w:b/>
          <w:i/>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may be amended, modified and supplemented by a written instrument authorized and executed on behalf of Buyer, the Divestiture Companies and Seller before closing, and on behalf of Buyer and Seller after closing. Certain provisions relating to debt financing sources may not be amended, supplemented, waived or otherwise modified in a manner adverse to the debt financing sources without their prior written consent. No failure or delay by any party in exercising any right under the Purchase Agreement will impair that right or be construed as a waiver of, or acquiescence in, any breach, and except as otherwise provided, all rights and remedies under the Purchase Agreement are cumulative and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 w:name="anan_007"/>
      <w:bookmarkEnd w:id="35"/>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governed by Delaware law, except that certain matters relating to the debt financing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a_012"/>
      <w:bookmarkEnd w:id="3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Before you make a decision regarding how you will vote on the proposals as set forth in this Proxy Statement, you should carefully consider each of the risk factors described below in addition to the other information contained in this Proxy Statement and the annexes attached to this Proxy Statement. The risk factors described below relate to the Sale as well as the risks relating to certain proposals set forth in this Proxy Statement. The risks discussed below also include forward-looking statements and actual results may differ substantially from those discussed in these forward-looking statements. See the section titled “Cautionary Statement Concerning Forward-Looking Statements.” The risks and uncertainties described below and in this Proxy Statement are not the only risks and uncertainties that we face. We encourage you to also carefully read the risk factors generally associated with our Company and our business contained in our Annual Report on Form 10-K for the fiscal year ended December 31, 2025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2025 Annual 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and our subsequent SEC filings. The special risk considerations described below are not the only ones facing us. Additional considerations not presently known to us or that we currently believe are immaterial may also impair our business operations. If any of the following special risk considerations actually occurs, our business, financial condition, or results of operations could be materially adversely affected, the market price of our Common Stock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further described in this Proxy Statement, the Sale is material to us and will result in significant changes to our business, operations and strategic direction, as well as to our overall capital structure. Accordingly, as a result of these potential changes, there will be new and additional risks and uncertainties that we may encounter and have to face in the future, as well as those risks that we already had prior to completing this transaction. These risks and uncertainties have been presented and summarized below to provide stockholders with important information in connection with their own evaluation of each of the proposals being considered at the Special Meeting. We urge all stockholders to fully and carefully read each of these risk factors listed below in their entirety and in this Proxy Statement in connection with their voting decision on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sa_013"/>
      <w:bookmarkEnd w:id="37"/>
      <w:r>
        <w:rPr>
          <w:rFonts w:ascii="Times New Roman;Times;Serif" w:hAnsi="Times New Roman;Times;Serif"/>
          <w:b/>
          <w:i w:val="false"/>
          <w:caps w:val="false"/>
          <w:smallCaps w:val="false"/>
          <w:sz w:val="20"/>
        </w:rPr>
        <w:t>Risk Factors Relating to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we fail to complete the Sale, our business may be harmed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assurances that the Sale will be completed. The closing of the Sale is subject to a number of conditions, including, among others, Company stockholder approval, the absence of any action or order preventing the Sale, the accuracy of the parties’ respective representations and warranties, performance in all material respects by the parties of their respective covenants under the Purchase Agreement, the absence of any Material Adverse Effect with respect to the Divestiture Group since the date of the Purchase Agreement, completion of the Pre-Closing Reorganization, satisfaction of certain minimum cash requirements, and the receipt of certain third-party consents, including consents identified on specific disclosure schedules and “Required Lease Consents” with respect to the real property leases and concession agreements underlying the XpresSpa Airport Business locations. Because these consents depend in part on the cooperation of airport landlords and other third parties outside our control, there is no assurance that they will be obtained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Agreement is terminated in specified circumstances, including if the Buyer terminates because we fail to convene the Stockholder Meeting by the applicable deadline, or if we terminate the Purchase Agreement to enter into a definitive agreement with respect to a Superior Proposal, we may be required to pay the Buyer the Buyer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announcement and pendency of the Sale, our business relationships, operating results, and business generally may be adversely affected. New or existing customers and business partners may prefer to enter into agreements with competitors that have not announced a pending sale transaction, and any failure to maintain existing business relationships or enter into new ones could adversely affect our business, results of operations, and financial condition. In addition, the pendency of the Sale may create uncertainty for employees, including risks related to retention of employees, diversion of management’s attention from ongoing business operations, and our ability to operate the Retained Ex-Airport Business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our directors, executive officers, and other employees may have expended extensive time and effort and experienced significant distractions during the pendency of the Sale, and we may have incurred significant third-party transaction costs, in each case without any commensurate benefit. If the Sale is not completed, we may explore other potential transactions involving the Company, in whole or in part. The terms of any alternative transaction may be more or less favorable to us than the terms of the Sale,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Buyer’s obligation to close is not conditioned on the Buyer having obtained financing, but our ability to compel Buyer to close is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does not require the Buyer to have obtained a debt commitment letter or an equity commitment letter as a condition to signing, and the Purchase Agreement expressly provides that the failure to obtain such financing does not, by itself, constitute a breach of the Buyer’s representations regarding its financial ability to consummate the transaction or a failure of any closing condition, provided the Buyer is communicating in good faith with potential financing sources. Although the Buyer represents that it will have sufficient funds available at Closing, subject to funding of anticipated debt financing and equity capital, there is no assurance that the Buyer will be able to obtain the financing necessary to fund the purchase price. Since the date of the Purchase Agreement, the Company has been informed by the Buyer that the Buyer has been in active discussions with multiple lending institutions that have conducted preliminary due diligence and have expressed a willingness to provide financing for the Sale. However, these discussions have not resulted in definitive financing commitments, and there can be no assurance that such commitments will be obtained on acceptable terms or at all. Moreover, our right to seek specific performance to compel Buyer to consummate the Closing is conditioned upon, among other things, the proceeds of the debt financing having been received in full by the Buyer or the applicable debt financing sources having irrevocably confirmed in writing that such proceeds will be funded at Closing. If the Buyer is unable to obtain the financing necessary to consummate the Sale, and we are unable to compel specific performance, the Sale may not be completed, and our remedies may be limited to receipt of the Seller Termination Fee described below, which may not fully compensate us for the harm caused by such failure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receive any competing transaction proposals or Superior Proposals, and the Purchase Agreement limits our ability to pursue alternatives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that, in certain circumstances, we may be required to pay the Buyer Termination Fee, including if we terminate the Purchase Agreement to enter into a definitive agreement with respect to a Superior Proposal. The amount and structure of the Buyer Termination Fee may have the effect of causing other potential third-party buyers not to submit a proposal to acquire the Divestiture Group, the XpresSpa Airport Business, the XpresTest Business, or other Company assets at a higher price or on more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contains provisions that make it more difficult for us to sell the Divestiture Group, the XpresSpa Airport Business, the XpresTest Business, or other Company assets to a party other than the Buyer. These provisions restrict our ability to solicit, initiate, knowingly encourage, or knowingly facilitate inquiries or proposals regarding an alternative transaction, to participate in discussions or negotiations regarding an alternative transaction, to furnish nonpublic information in connection with an alternative transaction, or to enter into agreements relating to an alternative transaction, subject to specified exceptions for unsolicited proposals that may constitute, or reasonably be expected to lead to, a Superior Proposal. The Purchase Agreement also requires us to notify the Buyer of alternative transaction proposals, keep the Buyer reasonably informed of the status of such proposals, provide the Buyer with certain nonpublic information furnished to other bidders, and, before making an adverse recommendation change, give the Buyer prior written notice and negotiate in good faith with the Buyer if requested. In addition, we may be obligated to pay the Buyer Termination Fee if the Purchase Agreement is terminated following certain alternative transaction proposals and we subsequently consummate an alternative transaction within twelve months of such termination. These provisions could discourage a third party that might have an interest in acquiring the Divestiture Group from considering or proposing an alternative transaction and could make it more difficult for us to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 expenses in connection with the transactions contemplated by the Purchase Agreement, regardless of whether the Sale is completed, and, in certain circumstances, may be required to pay a termination fee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expenses related to the transactions contemplated by the Purchase Agreement, including financial advisory and opinion fees and expenses, legal fees, accounting fees and expenses, certain employee expenses, filing fees, printing expenses, and other related fees and expenses. Many of these expenses will be payable by us regardless of whether the Sale is completed. In addition, if the Purchase Agreement is terminated in certain circumstances, we will be required to pay the Buyer the Buyer Termination Fee. See “</w:t>
      </w:r>
      <w:r>
        <w:rPr>
          <w:rFonts w:ascii="Times New Roman;Times;Serif" w:hAnsi="Times New Roman;Times;Serif"/>
          <w:b w:val="false"/>
          <w:i/>
          <w:caps w:val="false"/>
          <w:smallCaps w:val="false"/>
          <w:sz w:val="20"/>
        </w:rPr>
        <w:t>Description of the Purchase Agreement—Termination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litigation challenging the Sale, which could be expensive, could divert our attention, and could delay or prevent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other litigation in connection with the Sale, including litigation seeking to enjoin, delay, or unwind the transaction, in addition to any class action or derivative litigation alleging inadequate disclosure or breach of fiduciary duty in connection with the Board’s recommendation. Such litigation could result in substantial costs, including costs associated with the indemnification of our directors and officers, and could divert management’s attention from completing the Sale and operating our business. If a plaintiff is successful in obtaining an injunction prohibiting completion of the Sale, the Sale may be delayed or may not be completed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amount of net proceeds that we will receive from the Sale is subject to uncertainties, and our ability to recover amounts held in escrow is limited by the survival and exclusive-remedy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consideration from the Sale is based on a Base Purchase Price of $13,000,000, subject to customary adjustments for net working capital, closing indebtedness, sale expenses, and closing cash. Accordingly, the net proceeds from the Sale, after giving effect to the purchase price adjustment process, the payment or discharge of estimated closing indebtedness, the payment of estimated sale expenses, and the deposit of escrow amounts, are subject to uncertainty and may be materially less than the Base Purchase Price. At the closing of the Sale, $2,650,000 of the purchase price will be deposited into escrow accounts to secure certain post-closing obligations of the Company with respect to purchase price adjustments, indemnities, and expenses associated with a specified pre-existing arbitration award. Sale expenses may include certain sale, change in control, severance, deferred compensation, stay or retention bonus or similar payment obligations, transaction-related investment banking, accounting, legal and other professional fees, tail policy costs, escrow agent costs, and data room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Purchase Price will not be determined until after closing, when Buyer prepares a proposed calculation of closing net working capital, the net working capital adjustment, closing indebtedness, closing cash, sale expenses, and the resulting Purchase Price, subject to our review and dispute rights under the Purchase Agreement. We may receive additional amounts, if any, in connection with any positive final Purchase Price adjustment, payments relating to certain non-U.S. deposits, and the release of any remaining escrow funds. As a result, the amount of net proceeds from the Sale is subject to substantial uncertainty, and it is possible that the net proceeds from the Sale will be materially less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recovery of the Seller Termination Fee, and Buyer’s performance generally, depend in part on the creditworthiness of Buyer’s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payment obligations under the Purchase Agreement, including the Seller Termination Fee, are supported by a limited guaranty from the Guarantor. Our ability to recover amounts owed to us in the event of the Buyer’s breach or failure to close may depend on the continued creditworthiness of the Guarantor and the enforceability of the Limited Guaranty. There is no assurance that the Guarantor will have sufficient assets to satisfy its obligations under the he Limited Guaranty if called upon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will not receive any of the proceeds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will be paid directly to us, not to our stockholders. Although the Board intends to use the proceeds from the Sale, together with other cash on hand, to fund the continued operation of the Retained Ex-Airport Business and to pursue transformative strategic acquisition or business combination opportunities, as of the date of this Proxy Statement the Company has not entered into any definitive agreement providing for such an extraordinary corporate transaction. The Company will have broad discretion over the use of proceeds from the Sale and could spend the proceeds in ways that do not improve our results of operations or enhance the value of our Common Stock. The failure by the Company to apply these funds effectively could result in financial losses that could have a material adverse effect on our business or cause the price of our Common Stock to decline. The absence of a definitive plan for the use of proceeds also means that stockholders cannot evaluate with certainty, at the time of voting on the Sale, the ultimate use to which the proceeds will be put.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unaudited pro forma condensed combined financial information and financial projections included in this Proxy Statement are preliminary, and our actual financial position and operations after the Sale may differ materially from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and financial projections included in this Proxy Statement are presented for illustrative purposes only and are not necessarily indicative of our actual financial condition or results of operations for future periods, or of our financial condition or results of operations following the Sale. Our actual results and financial position after the Sale may differ materially and adversely from the unaudited pro forma financial information and financial projections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 of our financial advisor does not reflect changes in circumstances since the date of the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our financial advisor was necessarily based upon financial, economic, market, and other conditions in effect on, and the information made available as of, the date of the opinion. Changes in the operations and prospects of the Company, general market and economic conditions, and other factors that may be beyond our control, and which may be outside the period reviewed by our financial advisor, may alter the relevance of the opinion at the time you vote on the Sale Proposal. Our Board has not obtained, and does not currently intend to obtain, an updated opinion prior to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sa_014"/>
      <w:bookmarkEnd w:id="38"/>
      <w:r>
        <w:rPr>
          <w:rFonts w:ascii="Times New Roman;Times;Serif" w:hAnsi="Times New Roman;Times;Serif"/>
          <w:b/>
          <w:i w:val="false"/>
          <w:caps w:val="false"/>
          <w:smallCaps w:val="false"/>
          <w:sz w:val="20"/>
        </w:rPr>
        <w:t>Risk Factors Relating to Our Business Following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the Sale, our business will be smaller and less diversified, and the risks affecting our remaining business will be magnified.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Sale, the size of our business operations will be substantially reduced and our sources of revenue will be more limited and concentrated in the Retained Ex-Airport Business. Because our remaining business will represent a smaller and less diversified enterprise than we operate today, adverse developments affecting the Retained Ex-Airport Business could have a proportionally greater effect on our overall financial condition and results of operations than would have been the case prior to the Sale. There can be no assurance that we will be successful in operating the Retained Ex-Airport Business on a standalone basis or in generating sufficient revenue following the Closing. A failure to secure additional sources of revenue following the closing of the Sale could negatively impact the value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lose all of our senior management team in connection with the Sale, and we may be unable to operate the Retained Ex-Airport Business effectively without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all of our current corporate management team will transfer to, or otherwise become employed by, the Buyer or its affiliates in connection with the Sale, and will not continue in their current roles with the Company following the Closing. Following the Closing, we will need to rely, at least temporarily, on services provided by the Buyer under the Transition Services Agreement, or on newly hired corporate management personnel, to operate the Retained Ex-Airport Business, oversee our public company reporting obligations, and pursue any new business strategy. Our success following the Sale will depend in substantial part on our ability to identify, recruit, and retain qualified executive officers and other key personnel on acceptable terms and on a timely basis. We can provide no assurance that we will be able to do so, that any Transition Services Agreement will provide adequate coverage for the functions previously performed by our departing management team, or that a newly constituted management team will have the experience necessary to operate the Retained Ex-Airport Business or execute any new business strategy successfully. The loss of our senior management team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a new business strategy following the Sale, and our post-Sale strategic direction is not yet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is intended to be a significant step in a broader change to our business, operations, and strategic direction. As of the date of this Proxy Statement, our Board has not finally determined our post-Sale business strategy, new lines of business, acquisitions, or other strategic alternatives. To the extent that we identify and pursue a new strategic direction, we may lack the capital, personnel, industry expertise, or operating history necessary to execute that strategy successfully, and any new business we pursue will carry its own risks and uncertainties that are not reflected in our historical risk factor disclosure. If we are unable to identify or execute a viable strategy following the Sale, or if any new business we enter into underperforms our expectations, our business, financial condition, and the market price of our Common Stock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identify, negotiate, or consummate acquisitions or other strategic transactions using the proceeds of the Sale, particularly if we pursue opportunities outside of our historical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some or all of the net proceeds of the Sale to pursue acquisitions or other strategic transactions, potentially in industries in which we have little or no prior operating experience. Identifying, evaluating, negotiating, and completing an acquisition is a time-consuming and costly process, and we may compete with other potential acquirers, including strategic and financial buyers with greater resources, industry knowledge, and experience than we have. We cannot assure you that we will be able to identify suitable acquisition targets on acceptable terms, that we will have access to sufficient capital to complete any transaction we identify, or that we will be able to negotiate and close any such transaction at all. If we are unable to identify or evaluate potential targets accurately, including with respect to unfamiliar industries, we may fail to consummate an acquisition, or we may consummate an acquisition on terms that do not maximize, or that diminish, stockholder value. Even if we successfully complete an acquisition, we may be unable to integrate or operate the acquired business successfully, and the anticipated benefits of any such transaction may not be realized. Any of the foregoing could have a material adverse effect on our business, financial condition, results of operations, and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change our corporate branding following the Sale,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we are required to cease all use of the XPRESSPA, XPRESTEST, and XWELL trademarks, and to remove, de-brand, or destroy all signage, packaging, marketing collateral, digital assets, and other materials bearing those trademarks, within thirty days after the Closing, other than limited nominative fair use to describe historical facts or archived materials retained for legal, tax, or compliance purposes. As a result, we will need to adopt and transition to new corporate branding, including a new company name and marketing identity, in a short period of time following Closing. This rebranding could result in loss of brand recognition and customer confusion, and the costs and disruption associated with rebranding could be greater than we currently anticipate.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depend on the Buyer for transition services following the Closing, and any disruption in those services could adversely affect our ability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we expect to enter into a Transition Services Agreement with the Buyer, pursuant to which certain services will be provided following the Closing for a limited period. If the Buyer fails to perform its obligations under the Transition Services Agreement, or if the Transition Services Agreement is terminated due to an uncured breach, we may be unable to obtain these services from the Buyer or an alternative provider on comparable terms, which could disrupt our operations during the transition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subject to non-competition or non-solicitation restrictions following the Sale that could limit our strategic and operational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restrictive covenants that may limit our ability to compete with the divested Business or solicit certain employees or customers of the divested Business following the Closing. These restrictions could limit the range of strategic alternatives available to us as we pursue a new business direction and could adversely affect our ability to capitalize on opportunities related to our historical in-airport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the expense of complying with public company reporting requirements following the closing of the Sale, and our smaller size following the Sale may make it more difficult to satisfy Nasdaq’s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Sale, we will continue to be required to comply with the applicable reporting requirements of the Exchange Act, even though compliance with such reporting requirements may be economically burdensome relative to the reduced scale of our post-Sale operations. In addition, because the Sale will significantly reduce the size of our business and our assets, we may be at greater risk of failing to satisfy the continued listing requirements of the Nasdaq Stock Market, including requirements relating to market value of listed securities, stockholders’ equity, or minimum bid price. If we fail to satisfy Nasdaq’s continued listing requirements and our Common Stock is delisted, the liquidity and market price of our Common Stock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sa_015"/>
      <w:bookmarkEnd w:id="39"/>
      <w:r>
        <w:rPr>
          <w:rFonts w:ascii="Times New Roman;Times;Serif" w:hAnsi="Times New Roman;Times;Serif"/>
          <w:b/>
          <w:i w:val="false"/>
          <w:caps w:val="false"/>
          <w:smallCaps w:val="false"/>
          <w:sz w:val="20"/>
        </w:rPr>
        <w:t>PROPOSAL 1: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sa_016"/>
      <w:bookmarkEnd w:id="40"/>
      <w:r>
        <w:rPr>
          <w:rFonts w:ascii="Times New Roman;Times;Serif" w:hAnsi="Times New Roman;Times;Serif"/>
          <w:b/>
          <w:i w:val="false"/>
          <w:caps w:val="false"/>
          <w:smallCaps w:val="false"/>
          <w:sz w:val="20"/>
        </w:rPr>
        <w:t>The Parties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XWELL,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global wellness company operating multiple brands and focused on bringing restorative, regenerative and reinvigorating products and services to travelers. The Company’s XpresSpa® segment operates the XpresSpa Airport Business, and its XpresTest® segment operates the XpresTest Business. The Company also operates the Retained Ex-Airport Business at certain health and wellness retail locations outside of airports, which are not included in the Sale and will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trade on Nasdaq under the trading symbol “XWEL”.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 is contained in our filings with the SEC, copies of which may be obtained without charge by following the instructions in the section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XpresSpa Holdings, LLC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operates the Company’s XpresSpa Airport Business, with retail locations across the United States, the Netherlands, Turkey, and the United Arab Emirates (Dubai and Abu Dhabi).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XpresSpa. Following completion of the Sale, XpresSpa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XpresTest,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XpresTest, operates the Company’s XpresTest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XpresTest. Following completion of the Sale, XpresTest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Express Wellness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 was formed as a wholly owned subsidiary of Face Haus, LLC. Face Haus, LLC is a leading skincare service company that operates retail locations in Texas and California and provides wellness offerings in several airport lounges across the U.S. The company also distributes and sells a full assortment of skincare products under the Face Haus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Express Wellness Group, LLC’s principal executive offices are located at 3907 Medical Parkway, Suite 101, Austin, Texas 78756.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sa_017"/>
      <w:bookmarkEnd w:id="41"/>
      <w:r>
        <w:rPr>
          <w:rFonts w:ascii="Times New Roman;Times;Serif" w:hAnsi="Times New Roman;Times;Serif"/>
          <w:b/>
          <w:i w:val="false"/>
          <w:caps w:val="false"/>
          <w:smallCaps w:val="false"/>
          <w:sz w:val="20"/>
        </w:rPr>
        <w:t>Background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strategic planning process, the Board, together with XWELL management, regularly reviews the Company’s near- and long-term strategy, performance, market positioning, and operating prospects in light of its business and developments in the spa and health services industries, market perceptions, the Company’s stock price, and broader industry trends. In connection with these reviews, the Board and XWELL management considered, among other things, XWELL’s financial condition and capital requirements, liquidity and ability to continue as a going concern, and risks associated with XWELL’s business, including factors outside XWELL’s control that could negatively impact domestic and international air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incurred a net loss of $16.9 million and recognized $4.5 million of impairments of long-lived assets and operating lease right-of-use assets. In 2025, the Company faced liquidity pressures, including that its available liquidity was not sufficient to fund operations for at least the next 12 months absent additional capital. The Company received a Nasdaq minimum bid-price deficiency notice in May 2025 and regained compliance in August 2025. As of December 31, 2025, the Company had cash and cash equivalents of $2.6 million and a working capital deficit. In February 2026, the Company completed a private placement for expected gross proceeds of $31.3 million, of which $9.0 million was applied to repurchase notes and redeem preferred stock and warrants, with the balance available for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factors, the Board and XWELL management considered pursuing strategic alternative transactions to enhance stockholder value, including potential asset divestitures and business combination transactions that could provide XWELL’s stockholders with the opportunity to participate in a business with different growth prospects and risk characteristics. The Board’s review encompassed the full spectrum of alternatives reasonably available to the Company, including continuing to operate the Divestiture Group as part of XWELL’s existing business, pursuing additional capital-raising transactions, and, given the sustained financial and operational challenges facing the Divestiture Group, an orderly wind-down or liquidation of the Divestiture Group. The Board also evaluated opportunities to combine a divestiture of XWELL’s existing operations with an acquisition of, or combination with, a business in an unrelated industry, which could allow XWELL to remain a Nasdaq-listed public company while fundamentally repositioning its business and offering stockholders exposure to a different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chronology summarizes the material events and contacts that led to the signing of the Purchase Agreement. This chronology does not purport to detail every conversation of or among the Board, members of management, or their respective representatives and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consistent with past practice, the Board and XWELL management met regularly to identify, discuss, and evaluate strategic opportunities for XWELL, including potential financing transactions and potential acquisitions of other businesses. Face Haus, LLC (“</w:t>
      </w:r>
      <w:r>
        <w:rPr>
          <w:rFonts w:ascii="Times New Roman;Times;Serif" w:hAnsi="Times New Roman;Times;Serif"/>
          <w:b/>
          <w:i w:val="false"/>
          <w:caps w:val="false"/>
          <w:smallCaps w:val="false"/>
          <w:sz w:val="20"/>
        </w:rPr>
        <w:t>Face Haus</w:t>
      </w:r>
      <w:r>
        <w:rPr>
          <w:rFonts w:ascii="Times New Roman;Times;Serif" w:hAnsi="Times New Roman;Times;Serif"/>
          <w:b w:val="false"/>
          <w:i w:val="false"/>
          <w:caps w:val="false"/>
          <w:smallCaps w:val="false"/>
          <w:sz w:val="20"/>
        </w:rPr>
        <w:t>”) was one of the businesses identified by XWELL as a possible acquisition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XWELL entered into a mutual confidentiality agreement with Face Haus.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course of the ensuing months, from August 2025 through early 2026, representatives of XWELL and Face Haus engaged in discussions regarding the terms and structure of a possible business combination transaction. As negotiations progressed, the parties agreed that the combined business could be better positioned if it were to continue as a private company, without the expense of complying with public company reporting requirements following the closing of the transaction. Accordingly, the parties began to discuss the possible terms of a transaction whereby Face Haus would acquire the Divestiture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same period, XWELL had other discussions with other parties operating in the same industry concerning possible strategic transactions, and no parties other than Face Haus were identified as having interest in acquiring the Divestiture Group. One XpresTest competitor operating in the same industry (“</w:t>
      </w: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was identified as having potential interest in acquiring XpresTest (but not XpresSpa). XWELL’s discussions with Party A did not move beyond a preliminary phase, as Party A confirmed that it was not in a position to acquire any other business at that time. In any event, XWELL and the Board believed that the best way to maximize stockholder value in a divestiture scenario would be to sell XpresSpa with XpresTest due to (i) the strength of XpresTest’s financial performance relative to that of XpresSpa, which had faced profitability and liquidity challenges for a sustained period, and (ii) the fact that a sale of the two businesses together to a single buyer willing to acquire and operate both was more likely to be executed on a timely basis and to deliver certain value to stockholders than a fragmented process involving separate transactions with multiple counterparties for XpresSpa and XpresTest individually, each of which would introduce additional execution risk, timing delay, and the potential for reduced aggregate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meetings on September 16, 2025, October 31, 2025, and February 10, 2026, the Board continued to evaluate the Company’s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following negotiations between the parties regarding the financial terms of a possible Sale, Face Haus submitted a non-binding indication of interest with respect to the potential acquisition of the Divestiture Group (the “</w:t>
      </w:r>
      <w:r>
        <w:rPr>
          <w:rFonts w:ascii="Times New Roman;Times;Serif" w:hAnsi="Times New Roman;Times;Serif"/>
          <w:b/>
          <w:i w:val="false"/>
          <w:caps w:val="false"/>
          <w:smallCaps w:val="false"/>
          <w:sz w:val="20"/>
        </w:rPr>
        <w:t>Face Haus LOI</w:t>
      </w:r>
      <w:r>
        <w:rPr>
          <w:rFonts w:ascii="Times New Roman;Times;Serif" w:hAnsi="Times New Roman;Times;Serif"/>
          <w:b w:val="false"/>
          <w:i w:val="false"/>
          <w:caps w:val="false"/>
          <w:smallCaps w:val="false"/>
          <w:sz w:val="20"/>
        </w:rPr>
        <w:t>”). The Face Haus LOI expressed Face Haus’s interest in acquiring the XpresSpa and XpresTest businesses on a cash-free, debt-free basis for an aggregate purchase price of $13.0 million. The Face Haus LOI contemplated that the acquisition would be funded through a combination of debt and equity. In addition, Face Haus noted its expectation that certain senior members of XWELL management with primary responsibility for operating the XpresSpa and XpresTest businesses would join Face Haus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concurrently with its delivery of the Face Haus LOI, Face Haus also delivered a draft Exclusivity Agreement, which set forth restrictions on XWELL’s ability to pursue alternative transactions. Over the ensuing days, the parties negotiated the terms of the draft Exclusivity Agreement, including with respect to the exclusivity period and the defined scope of what constituted an alternative transaction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XWELL and Face Haus entered into a definitive Exclusivity Agreement, which provided for a 45-day exclusivity period, subject to three successive 15-day extensions in the event that Face Haus was negotiating in good faith, was using diligent efforts to execute a definitive agreement, and had not indicated that it would reduce its offer price below $13.0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granted Face Haus access to the virtual data room (the “</w:t>
      </w:r>
      <w:r>
        <w:rPr>
          <w:rFonts w:ascii="Times New Roman;Times;Serif" w:hAnsi="Times New Roman;Times;Serif"/>
          <w:b/>
          <w:i w:val="false"/>
          <w:caps w:val="false"/>
          <w:smallCaps w:val="false"/>
          <w:sz w:val="20"/>
        </w:rPr>
        <w:t>VDR</w:t>
      </w:r>
      <w:r>
        <w:rPr>
          <w:rFonts w:ascii="Times New Roman;Times;Serif" w:hAnsi="Times New Roman;Times;Serif"/>
          <w:b w:val="false"/>
          <w:i w:val="false"/>
          <w:caps w:val="false"/>
          <w:smallCaps w:val="false"/>
          <w:sz w:val="20"/>
        </w:rPr>
        <w:t>”) to conduct diligence, and Dechert LLP, outside counsel to Face Haus (“</w:t>
      </w:r>
      <w:r>
        <w:rPr>
          <w:rFonts w:ascii="Times New Roman;Times;Serif" w:hAnsi="Times New Roman;Times;Serif"/>
          <w:b/>
          <w:i w:val="false"/>
          <w:caps w:val="false"/>
          <w:smallCaps w:val="false"/>
          <w:sz w:val="20"/>
        </w:rPr>
        <w:t>Dechert</w:t>
      </w:r>
      <w:r>
        <w:rPr>
          <w:rFonts w:ascii="Times New Roman;Times;Serif" w:hAnsi="Times New Roman;Times;Serif"/>
          <w:b w:val="false"/>
          <w:i w:val="false"/>
          <w:caps w:val="false"/>
          <w:smallCaps w:val="false"/>
          <w:sz w:val="20"/>
        </w:rPr>
        <w:t>”), commenced its legal due diligence review of the Divestiture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Chairman of the Board and members of the Company’s management met with representatives of Haynes &amp; Boone LLP, outside counsel to XWELL (“</w:t>
      </w:r>
      <w:r>
        <w:rPr>
          <w:rFonts w:ascii="Times New Roman;Times;Serif" w:hAnsi="Times New Roman;Times;Serif"/>
          <w:b/>
          <w:i w:val="false"/>
          <w:caps w:val="false"/>
          <w:smallCaps w:val="false"/>
          <w:sz w:val="20"/>
        </w:rPr>
        <w:t>Haynes Boone</w:t>
      </w:r>
      <w:r>
        <w:rPr>
          <w:rFonts w:ascii="Times New Roman;Times;Serif" w:hAnsi="Times New Roman;Times;Serif"/>
          <w:b w:val="false"/>
          <w:i w:val="false"/>
          <w:caps w:val="false"/>
          <w:smallCaps w:val="false"/>
          <w:sz w:val="20"/>
        </w:rPr>
        <w:t>”), to discuss recent communications with Face Haus regarding the transaction structure, including whether the acquisition of XpresSpa and XpresTest should be structured as an equity acquisition or an asset acquisition. Additionally, the attendees discussed XWELL’s stockholder composition and potential mechanics for obtaining any required stockholder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at the end of March 2026 and continuing on a substantially weekly basis through signing of the Purchase Agreement, representatives of XWELL, Face Haus, Dechert, and Haynes Boone held regular virtual meetings to discuss business updates, the status of Face Haus’s due diligence, the transaction documents, and other administrative, operational, and transition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Dechert delivered an initial draft of the Purchase Agreement to the Company. At a virtual meeting later that day, representatives of XWELL, Face Haus, Dechert, and Haynes Boone discussed the transaction process, including the process to seek required consents from airport authorities and other applicable third-party counterparties in connection with the proposed Sale. The parties agreed that, going forward, they would continue their standing weekly virtual meetings and would convene additional working sessions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and its advisors pursued the Sale process, the Company was also considering potential strategic acquisition transactions, including the potential acquisition (“</w:t>
      </w:r>
      <w:r>
        <w:rPr>
          <w:rFonts w:ascii="Times New Roman;Times;Serif" w:hAnsi="Times New Roman;Times;Serif"/>
          <w:b/>
          <w:i w:val="false"/>
          <w:caps w:val="false"/>
          <w:smallCaps w:val="false"/>
          <w:sz w:val="20"/>
        </w:rPr>
        <w:t>Project Energy</w:t>
      </w:r>
      <w:r>
        <w:rPr>
          <w:rFonts w:ascii="Times New Roman;Times;Serif" w:hAnsi="Times New Roman;Times;Serif"/>
          <w:b w:val="false"/>
          <w:i w:val="false"/>
          <w:caps w:val="false"/>
          <w:smallCaps w:val="false"/>
          <w:sz w:val="20"/>
        </w:rPr>
        <w:t>”) of a target business in the nuclear energy industry (“</w:t>
      </w: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Throughout April 2026, Company representatives negotiated with Party B regarding the terms of the potential transaction. XWELL and Party B contemplated that Project Energy would be structured as a reverse triangular merger, whereby a new subsidiary to be formed by XWELL (“</w:t>
      </w:r>
      <w:r>
        <w:rPr>
          <w:rFonts w:ascii="Times New Roman;Times;Serif" w:hAnsi="Times New Roman;Times;Serif"/>
          <w:b/>
          <w:i w:val="false"/>
          <w:caps w:val="false"/>
          <w:smallCaps w:val="false"/>
          <w:sz w:val="20"/>
        </w:rPr>
        <w:t>Energy Merger Sub</w:t>
      </w:r>
      <w:r>
        <w:rPr>
          <w:rFonts w:ascii="Times New Roman;Times;Serif" w:hAnsi="Times New Roman;Times;Serif"/>
          <w:b w:val="false"/>
          <w:i w:val="false"/>
          <w:caps w:val="false"/>
          <w:smallCaps w:val="false"/>
          <w:sz w:val="20"/>
        </w:rPr>
        <w:t>”) would merge with and into Party B, with Party B surviving the merger as a wholly-owned subsidiary of XWELL. XWELL and Party B also contemplated that the equityholders of Party B would be entitled to receive merger consideration in the form of newly-issued shares of XWELL’s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2026, in connection with Project Energy, Party B delivered to the Company a draft Agreement and Plan of Merger (the “</w:t>
      </w:r>
      <w:r>
        <w:rPr>
          <w:rFonts w:ascii="Times New Roman;Times;Serif" w:hAnsi="Times New Roman;Times;Serif"/>
          <w:b/>
          <w:i w:val="false"/>
          <w:caps w:val="false"/>
          <w:smallCaps w:val="false"/>
          <w:sz w:val="20"/>
        </w:rPr>
        <w:t>Energy Merger Agreement</w:t>
      </w:r>
      <w:r>
        <w:rPr>
          <w:rFonts w:ascii="Times New Roman;Times;Serif" w:hAnsi="Times New Roman;Times;Serif"/>
          <w:b w:val="false"/>
          <w:i w:val="false"/>
          <w:caps w:val="false"/>
          <w:smallCaps w:val="false"/>
          <w:sz w:val="20"/>
        </w:rPr>
        <w:t>”). In the ensuing weeks, XWELL, Party B, and their respective legal counsel engaged in regular negotiations concerning Project Energy and exchanged revised drafts of the Energy Merger Agreement. XWELL and Party B contemplated that the Energy Merger Agreement could be signed concurrently with the Purchase Agreement and submitted for the approval of XWELL’s stockholders at the same Special Meeting. The Energy Merger Agreement provided that consummation of the merger would be subject to, among other things, a condition that XWELL would have consummated the Sale of the Purchased Equity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at one of the regular virtual meetings among XWELL, Face Haus, Dechert, and Haynes Boone, the parties discussed, among other things, the possible interplay between the Sale and Project Energy. The parties noted that they would schedule additional working sessions to discuss certain operational and integration matters, including corporate finance and insurance workstreams.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Haynes Boone delivered a revised draft of the Purchase Agreement to Dechert.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Dechert delivered a revised draft of the Purchase Agreement to Haynes Boone.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mid-May 2026, as Haynes Boone and Dechert worked to resolve open legal points, XWELL’s Board engaged Roth Capital Partners, LLC (“</w:t>
      </w:r>
      <w:r>
        <w:rPr>
          <w:rFonts w:ascii="Times New Roman;Times;Serif" w:hAnsi="Times New Roman;Times;Serif"/>
          <w:b/>
          <w:i w:val="false"/>
          <w:caps w:val="false"/>
          <w:smallCaps w:val="false"/>
          <w:sz w:val="20"/>
        </w:rPr>
        <w:t>Roth</w:t>
      </w:r>
      <w:r>
        <w:rPr>
          <w:rFonts w:ascii="Times New Roman;Times;Serif" w:hAnsi="Times New Roman;Times;Serif"/>
          <w:b w:val="false"/>
          <w:i w:val="false"/>
          <w:caps w:val="false"/>
          <w:smallCaps w:val="false"/>
          <w:sz w:val="20"/>
        </w:rPr>
        <w:t>”) as its financial advisor in connection with the Sale. Although the material economic terms of the proposed Sale had been substantially negotiated by that point, the Board determined that it would be beneficial to engage an independent financial advisor to conduct a financial analysis of the proposed Sale and the consideration to be received by the Company, in order to inform the Board’s evaluation of whether the proposed terms of Sale would help to maximize stockholder value. Over the following weeks, representatives of Roth, the Chairman of the Board, and XWELL management discussed the Company’s financial condition, prospects, the financial terms of the proposed Sale, and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representatives of XWELL and Haynes Boone met virtually to discuss remaining open issues under the draft Purchase Agreement, including with respect to closing certainty, the Buyer’s contemplated financing structure, purchase price adjustment mechanics, net working capital methodology, XWELL’s retained operations, the pre-closing reorganization, interim operating covenants, the scope and terms of a potential Transition Services Agreement, and the preparation of a Proxy Statement. Representatives of XWELL also discussed Roth’s financial analyses with respect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May 2026, throughout the course of June 2026, and in the first week of July 2026, XWELL and Face Haus continued to exchange revised drafts of the Purchase Agreement and had regular virtual meetings to discuss resolving remaining due diligence questions and finalizing the Purchase Agreement and ancillary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June 2026, XWELL and Party B continued to discuss the proposed terms of Project Energy, including the possible post-closing capitalization of XWELL. In the middle of June, those negotiations broke down, and the parties determined not to proceed with Project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Board held a virtual meeting to consider the Purchase Agreement and the transactions contemplated thereby. The Board reviewed in detail the pricing and other financial terms of the proposed Purchase Agreement. At the meeting, representatives of Roth reviewed with the Board Roth’s financial analyses with respect to the Sale, and Roth rendered to the Board its oral opinion, which was subsequently confirmed by delivery of Roth’s written opinion dated July 6, 2026, to the effect that, as of such date and based upon and subject to the assumptions made, procedures followed, matters considered, and qualifications and limitations on the review undertaken by Roth in preparing its opinion, the consideration to be received by the Company in the Sale pursuant to the Purchase Agreement was fair, from a financial point of view, to the Company. For a description of Roth’s financial analyses, see the section entitled “</w:t>
      </w:r>
      <w:r>
        <w:rPr>
          <w:rFonts w:ascii="Times New Roman;Times;Serif" w:hAnsi="Times New Roman;Times;Serif"/>
          <w:b w:val="false"/>
          <w:i/>
          <w:caps w:val="false"/>
          <w:smallCaps w:val="false"/>
          <w:sz w:val="20"/>
        </w:rPr>
        <w:t>Proposal 1: The Sale Proposal—Opinion of the Company’s Financial Advisor</w:t>
      </w:r>
      <w:r>
        <w:rPr>
          <w:rFonts w:ascii="Times New Roman;Times;Serif" w:hAnsi="Times New Roman;Times;Serif"/>
          <w:b w:val="false"/>
          <w:i w:val="false"/>
          <w:caps w:val="false"/>
          <w:smallCaps w:val="false"/>
          <w:sz w:val="20"/>
        </w:rPr>
        <w:t>.” Representatives of Haynes Boone then reviewed with the Board applicable fiduciary duties in connection with the proposed Sale and the material terms and conditions of the proposed Purchase Agreement, and also reviewed with the Board the interests that certain of the Company’s directors and executive officers have in the Sale that are different from, or in addition to, the interests of the Company’s stockholders generally, as described under the section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After further discussion, the Board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 The Board further authorized management, with the assistance of counsel, to finalize and execute the Purchase Agreement and all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July 6, 2026, the parties entered into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a_018"/>
      <w:bookmarkEnd w:id="42"/>
      <w:r>
        <w:rPr>
          <w:rFonts w:ascii="Times New Roman;Times;Serif" w:hAnsi="Times New Roman;Times;Serif"/>
          <w:b/>
          <w:i w:val="false"/>
          <w:caps w:val="false"/>
          <w:smallCaps w:val="false"/>
          <w:sz w:val="20"/>
        </w:rPr>
        <w:t>Reasons for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evaluation of strategic alternatives, the Purchase Agreement and the proposed Sale, the Board held several meetings, consulted with XWELL’s executive management, XWELL’s outside legal counsel and XWELL’s financial advisor, and considered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Financial Condition and Liquidity of the Company. </w:t>
            </w:r>
            <w:r>
              <w:rPr>
                <w:rFonts w:ascii="Times New Roman;Times;Serif" w:hAnsi="Times New Roman;Times;Serif"/>
              </w:rPr>
              <w:t>The Board considered XWELL’s financial condition, including that the Company incurred a net loss of $16.9 million in 2024 and recognized $4.5 million of impairments of long-lived assets and operating lease right-of-use assets, that the Company’s available liquidity had not been sufficient to fund its operations for the next 12 months absent additional capital, and that the Company had a working capital deficit and cash and cash equivalents of only $2.6 million as of December 31, 2025. The Board further considered that the Company received a Nasdaq minimum bid-price deficiency notice in May 2025, a public signal of financial distress, and only regained compliance in August 2025. The Company received an additional Nasdaq notice of non-compliance in the first quarter of 2026. While the Company subsequently completed a $31.3 million private placement in February 2026 that alleviated near-term going concern doubt and cleaned up its capital structure, the Board concluded that continuing to fund structurally challenged airport businesses against this backdrop of fundamental business challenges and recurring Nasdaq compliance risk, without a clear and credible path to sustained profitability, exposed stockholders to severe stock price volatility and compounding investment risk, including the potential for future Nasdaq compliance failures and further dilutive capital raises. Against this uncertain outlook, the Board considered that the Sale would instead deliver certain, immediate value to the Company and its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Risk Profile and Prospects of the Divestiture Group. </w:t>
            </w:r>
            <w:r>
              <w:rPr>
                <w:rFonts w:ascii="Times New Roman;Times;Serif" w:hAnsi="Times New Roman;Times;Serif"/>
              </w:rPr>
              <w:t>The Board considered the business risks specific to the XpresSpa and XpresTest businesses. In particular, the Board noted that XpresSpa has not been profitable historically, generating operating losses in each of the last four fiscal years, and that, absent a fundamental restructuring of its cost structure and airport concession agreements, XpresSpa’s path to sustained profitability remained uncertain. The Board also considered that XpresTest derives substantially all of its revenue from a single customer, the U.S. Centers for Disease Control and Prevention (“CDC”), under contracts that are subject to renewal, rebidding and potential funding reductions, and that the loss, non-renewal, or renegotiation of that relationship on less favorable terms would have a material adverse effect on the Divestiture Group’s business, financial condition, and results of operations. The Board considered that this customer concentration represents a significant risk that is largely outside of the Company’s control and that the combined effect of XpresSpa’s persistent unprofitability and XpresTest’s single-customer dependency created a risk profile that was unlikely to generate sustained stockholder value on a standalone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Alternatives to the Sale. </w:t>
            </w:r>
            <w:r>
              <w:rPr>
                <w:rFonts w:ascii="Times New Roman;Times;Serif" w:hAnsi="Times New Roman;Times;Serif"/>
              </w:rPr>
              <w:t>The Board considered the full range of strategic alternatives reasonably available to the Company, including continuing to operate the Divestiture Group as part of XWELL’s existing business, pursuing additional capital-raising transactions, pursuing other forms of business combinations, and winding down and liquidating the Divestiture Group, taking into account the estimated liquidation value of the Divestiture Group’s underlying assets net of anticipated wind-down costs, employee-related obligations, lease termination costs, and other liabilities. Based on the factors described above, the Board determined that none of these alternatives was reasonably likely to create greater value for the Company’s stockholders than the Sale, taking into account the risks, uncertainties, and potential delays associated with each alternative, including the meaningfully lower and less certain recovery that stockholders would likely realize in a wind-down or liquidation scenario as compared to a negotiated sale to a going-concern buyer.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3"/>
        <w:gridCol w:w="10055"/>
      </w:tblGrid>
      <w:tr>
        <w:trPr/>
        <w:tc>
          <w:tcPr>
            <w:tcW w:w="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rFonts w:ascii="Symbol" w:hAnsi="Symbol"/>
                <w:sz w:val="20"/>
              </w:rPr>
              <w:t>·</w:t>
            </w:r>
            <w:r>
              <w:rPr/>
              <w:t xml:space="preserve"> </w:t>
            </w:r>
          </w:p>
        </w:tc>
        <w:tc>
          <w:tcPr>
            <w:tcW w:w="10055" w:type="dxa"/>
            <w:tcBorders/>
            <w:vAlign w:val="center"/>
          </w:tcPr>
          <w:p>
            <w:pPr>
              <w:pStyle w:val="TableContents"/>
              <w:bidi w:val="0"/>
              <w:spacing w:before="0" w:after="283"/>
              <w:jc w:val="both"/>
              <w:rPr/>
            </w:pPr>
            <w:r>
              <w:rPr>
                <w:rFonts w:ascii="Times New Roman;Times;Serif" w:hAnsi="Times New Roman;Times;Serif"/>
                <w:i/>
              </w:rPr>
              <w:t>Opportunity to Redeploy Capital.</w:t>
            </w:r>
            <w:r>
              <w:rPr>
                <w:rFonts w:ascii="Times New Roman;Times;Serif" w:hAnsi="Times New Roman;Times;Serif"/>
              </w:rPr>
              <w:t xml:space="preserve"> The Board considered that the Sale would provide the Company with immediate liquidity and would materially strengthen the Company’s balance sheet, thereby improving the Company’s ability to pursue strategic acquisition or business combination opportunities in industries unrelated to the Divestiture Group’s existing operations that the Board believes could reposition the Company for long-term growth and generate superior stockholder value. In evaluating the relative attractiveness of such opportunities compared to the continued operation of the Divestiture Group, the Board considered that the Company’s current industry (airport-based health, wellness, and biosurveillance services) is characterized by high fixed costs, significant landlord dependency, customer concentration risk, and limited scalability. The Board intends to evaluate opportunities across a range of industries with more attractive growth characteristics and a more differentiated risk profile, applying criteria that include, among other things, the quality and defensibility of the target’s competitive position, the strength and depth of the target’s management team, the potential for near-term cash flow generation, and the ability to create long-term value for the Company’s stockholders. If no suitable acquisition or combination opportunity is identified within a reasonable period following the closing of the Sale, the Board will evaluate whether a return of capital to stockholders in the form of a special dividend, share repurchase program, or other distribution would be in the best interests of the Company’s stockholders at that time.</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i/>
              </w:rPr>
              <w:t>Management Continuity and Transition Planning.</w:t>
            </w:r>
            <w:r>
              <w:rPr/>
              <w:t xml:space="preserve"> The Board considered that all of the Company’s current corporate management team are expected to transition to employment with the Buyer or its affiliates following the closing of the Sale, and that the Company will need to identify and retain new corporate management to oversee the Retained Ex-Airport Business and any post-Sale strategic initiatives. In evaluating this factor, the Board considered the terms of the Transition Services Agreement, which will provide the Company with continued access to certain operational and administrative services for a limited period following the closing, affording the Company time to recruit replacement management personnel and establish standalone corporate functions. The Board further considered that the Company’s remaining Board members and any newly hired management will be responsible for evaluating and executing the Company’s post-Sale strategy, and that the Board intends to move promptly following the closing to identify qualified candidates for key management roles.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i/>
              </w:rPr>
              <w:t>Retained Ex-Airport Business.</w:t>
            </w:r>
            <w:r>
              <w:rPr/>
              <w:t xml:space="preserve"> The Board considered the nature, scale, and prospects of the Company’s Retained Ex-Airport Business, which consists of twelve health and wellness retail locations operating outside of airports. As of March 31, 2026, the Retained Ex-Airport Business generated trailing twelve-month revenue of approximately $2.297 million. The Board considered that, while the Retained Ex-Airport Business is significantly smaller than the Divestiture Group, it provides the Company with a continuing operational platform and ongoing revenue, and that the net proceeds of the Sale, when combined with the Company’s existing cash resources, are expected to provide adequate liquidity to fund the continued operation of the Retained Ex-Airport Business while the Board evaluates strategic alternatives. The Board also considered the Company’s ongoing obligations as a Nasdaq-listed public company and the associated costs, and concluded that the anticipated proceeds of the Sale, together with the Company’s other resources, would be sufficient to satisfy those obligations for the foreseeable future.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Terms of the Purchase Agreement. </w:t>
            </w:r>
            <w:r>
              <w:rPr>
                <w:rFonts w:ascii="Times New Roman;Times;Serif" w:hAnsi="Times New Roman;Times;Serif"/>
              </w:rPr>
              <w:t>The Board considered the terms and conditions of the Purchase Agreement, including the purchase price of $13.0 million, before deducting transaction expenses and other adjustments, the representations, warranties, and covenants of the parties, the conditions to closing, and the provisions governing termination of the Purchase Agreement, including the circumstances under which the Company may be required to pay a termination fee. In evaluating the purchase price, the Board noted that the Base Purchase Price of $13.0 million represents approximately 51% of the Divestiture Group’s trailing twelve-month revenue of $25.601 million and approximately 286% of the Divestiture Group’s trailing twelve-month Adjusted EBITDA of $4.552 million, which the Board considered to be within the range of comparable transactions in the health, wellness, and airport services industries based on publicly available information reviewed by the Company’s management and financial advisor.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Opinion of the Company’s Financial Advisor. </w:t>
            </w:r>
            <w:r>
              <w:rPr>
                <w:rFonts w:ascii="Times New Roman;Times;Serif" w:hAnsi="Times New Roman;Times;Serif"/>
              </w:rPr>
              <w:t>The Board considered the financial analyses presented by Roth to the Board on July 6, 2026, and Roth’s oral opinion (subsequently confirmed by delivery of a written opinion dated July 6, 2026) to the effect that, as of that date and based upon and subject to the assumptions, procedures, matters considered, and qualifications and limitations described in its opinion, the consideration to be received by the Company in the Sale was fair, from a financial point of view, to the Company, as more fully described under “</w:t>
            </w:r>
            <w:r>
              <w:rPr>
                <w:rFonts w:ascii="Times New Roman;Times;Serif" w:hAnsi="Times New Roman;Times;Serif"/>
                <w:i/>
              </w:rPr>
              <w:t>Proposal 1: The Sale Proposal—Opinion of the Company’s Financial Advisor</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Likelihood of Consummation. </w:t>
            </w:r>
            <w:r>
              <w:rPr>
                <w:rFonts w:ascii="Times New Roman;Times;Serif" w:hAnsi="Times New Roman;Times;Serif"/>
              </w:rPr>
              <w:t>The Board considered the likelihood that the Sale would be completed, including the nature of the conditions to the Buyer’s obligation to close, the Buyer’s contemplated financing structure, and the likelihood that the required third-party and stockholder approvals would be obtained. In this regard, the Board noted that, although the Buyer had not obtained definitive financing commitments as of the date of the Purchase Agreement, the Buyer’s obligations under the Purchase Agreement are absolute and unconditional and are not contingent upon the Buyer’s ability to obtain financing. The Board further considered information provided by the Buyer indicating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the Board recognized that no definitive financing commitments have been obtained and that there can be no assurance that the Buyer will secure the financing necessary to fund the Purchase Price, the Board concluded, based on the totality of the information available, including the Buyer’s unconditional obligation to close, the Seller Termination Fee and Limited Guaranty protections, and the progress of the Buyer’s financing efforts, that the Sale was reasonably likely to be consummated.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Process. </w:t>
            </w:r>
            <w:r>
              <w:rPr>
                <w:rFonts w:ascii="Times New Roman;Times;Serif" w:hAnsi="Times New Roman;Times;Serif"/>
              </w:rPr>
              <w:t>The Board considered the process by which the Company and its representatives negotiated the terms of the Purchase Agreement, including that the process spanned approximately eleven months from XWELL’s initial engagement with Face Haus through the signing of the Purchase Agreement, during which time (i) the Company evaluated Face Haus, Party A, Party B, and other potential counterparties, (ii) Face Haus and its advisors conducted extensive due diligence on XWELL and the Divestiture Group, and (iii) XWELL, Face Haus, and their respective advisors negotiated the terms of the Purchase Agreement and other transaction documents. The Board also considered whether a broader marketing or formal auction process was likely to yield a superior outcome. In this regard, the Board noted that the Company had engaged with other parties operating in the same industry during the process, including Party A, an XpresTest competitor, which confirmed that it was not in a position to acquire any other business at that time. In light of the limited universe of strategic acquirers with both the operational expertise to manage a combined airport spa and biosurveillance business and the financial capacity to fund a transaction of this size, the Board concluded that the negotiated process with Face Haus, which resulted in a fully negotiated definitive agreement with reciprocal termination fees and a “fiduciary out” permitting the Board to consider unsolicited Superior Proposals, was reasonably designed to result in the most favorable terms reasonably obtainable for the Company under the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Board are not intended to be exhaustive, but are believed to include the material factors considered by the Board in its evaluation of the Sale. In view of the wide variety of factors considered in connection with its evaluation of the Sale and the complexity of these matters, the Board did not find it useful, and did not attempt, to quantify, rank, or assign relative weights to these factors, and individual members of the Board may have given differing weight to different factors. The Board conducted an overall analysis of the factors described above, including through discussions with, and questioning of, XWELL’s management and its legal and financial advisors, and considered the factors overall to be favorable to, and to support, its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a_019"/>
      <w:bookmarkEnd w:id="43"/>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After careful consideration, the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sa_020"/>
      <w:bookmarkEnd w:id="44"/>
      <w:r>
        <w:rPr>
          <w:rFonts w:ascii="Times New Roman;Times;Serif" w:hAnsi="Times New Roman;Times;Serif"/>
          <w:b/>
          <w:i w:val="false"/>
          <w:caps w:val="false"/>
          <w:smallCaps w:val="false"/>
          <w:sz w:val="20"/>
        </w:rPr>
        <w:t>Opinion of the Company’s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retained Roth to render an opinion as to the fairness, from a financial point of view, to the Company of the consideration to be received by the Company pursuant to the Purchase Agreement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at a meeting of the Board held to evaluate the Sale, Roth rendered to the Board its oral opinion, which was subsequently confirmed by delivery of Roth’s written opinion dated July 6, 2026, to the effect that, as of such date and based upon and subject to the assumptions made, procedures followed, matters considered, and qualifications and limitations on the review undertaken by Roth in preparing its opinion, the Consideration was fair, from a financial point of view,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full text of Roth’s written opinion, dated July 6, 2026, which describes the assumptions made, procedures followed, matters considered and limitations on the review undertaken, is attached as Annex C to this Proxy Statement and is incorporated by reference in its entirety. Roth’s opinion was provided for the Board for its information and assistance in connection with its consideration of the financial terms of the Sale. Roth’s opinion does not constitute a recommendation to the Board as to whether the Board should vote to approve the Sale or to any stockholder of XWELL as to how any such stockholder should vote at any stockholders meeting at which the Sale is considered, or whether or not any stockholder should enter into a voting, shareholders’, or affiliates’ agreement with respect to the Sale. Roth’s opinion does not compare the relative merits of the Sale with any other alternative transactions or business strategies which may have been available to XWELL and does not address the underlying business decision of the Board or XWELL to proceed with or effect the Sale. This summary of Roth’s opinion is qualified in its entirety by reference to the full text of its opinion, and stockholders are urged to read Roth’s opinion carefully and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its opinion and in connection with its review, Roth,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
        <w:gridCol w:w="124"/>
        <w:gridCol w:w="9987"/>
      </w:tblGrid>
      <w:tr>
        <w:trPr/>
        <w:tc>
          <w:tcPr>
            <w:tcW w:w="9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 draft of the Purchase Agreement provided to Roth on July 3, 2026;</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pPr>
            <w:r>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certain publicly available information relating to the Company, including reported prices and trading activity for the Company's Common Stock and the Company's Annual Report on Form 10-K for the fiscal year ended December 31, 2025, and its Quarterly Report on Form 10-Q for the quarter ended March 31, 2026;</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pPr>
            <w:r>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both"/>
              <w:rPr/>
            </w:pPr>
            <w:r>
              <w:rPr/>
              <w:t xml:space="preserve">  </w:t>
            </w:r>
          </w:p>
        </w:tc>
        <w:tc>
          <w:tcPr>
            <w:tcW w:w="124" w:type="dxa"/>
            <w:tcBorders/>
            <w:vAlign w:val="center"/>
          </w:tcPr>
          <w:p>
            <w:pPr>
              <w:pStyle w:val="TableContents"/>
              <w:bidi w:val="0"/>
              <w:spacing w:before="0" w:after="283"/>
              <w:jc w:val="both"/>
              <w:rPr>
                <w:sz w:val="20"/>
              </w:rPr>
            </w:pPr>
            <w:r>
              <w:rPr>
                <w:rFonts w:ascii="Symbol" w:hAnsi="Symbol"/>
                <w:sz w:val="20"/>
              </w:rPr>
              <w:t>·</w:t>
            </w:r>
            <w:r>
              <w:rPr>
                <w:sz w:val="20"/>
              </w:rPr>
              <w:t xml:space="preserve"> </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reviewed six-year consolidated and segmented financial projections for the Company for the fiscal years ending December 31, 2026, through December 31, 2031, and a liquidation analysis based on the Company's consolidated balance sheet as of March 31, 2026, in each case prepared by and furnished to Roth by the management of the Company; </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pPr>
            <w:r>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discussions with members of senior management of the Company concerning the business, operations, financial condition and prospects of the Company and the projections and liquidation analysis referred to above, the scope of the assets and liabilities included in and excluded from the Sale, and the Pre-Closing Reorganization;</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pPr>
            <w:r>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both"/>
              <w:rPr/>
            </w:pPr>
            <w:r>
              <w:rPr/>
              <w:t> </w:t>
            </w:r>
          </w:p>
        </w:tc>
        <w:tc>
          <w:tcPr>
            <w:tcW w:w="124"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a discounted cash flow analysis of the Company based on the financial projections referenced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compared certain publicly available financial, market and operating information of selected publicly traded companies, and reviewed the financial terms of selected precedent transactions, in each case that Roth deemed relevant;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participated in discussions with representatives of the Board and its legal advisors regarding the Sale, the terms of the Purchase Agreement (including the purchase price adjustment, escrow and indemnification provisions), and certain other matters Roth deemed relevant for purposes of rendering its opinion;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as directed and with the consent of the Company’s management and Board, that there will be no adjustments for closing cash, indebtedness, net working capital and transaction expenses pursuant to the Purchase Agreement and that all of the amounts put in escrow pursuant to the Purchase Agreement will be released to the Company when the relevant periods for their retention expire;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such other analyses and considered such other factors as Roth deemed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its opinion, Roth assumed and relied upon, without independent verification, the accuracy and completeness of the information publicly available or supplied or otherwise made available to it by or through the Company, and did not assume any responsibility for independently verifying such information. Roth further relied upon the assurances of the management of the Company that such information does not contain any untrue statement of a material fact or omit to state a material fact required to be stated therein or necessary to make the statements contained therein not misleading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financial projections, Roth was advised by the management of the Company, and we assumed, with the Board’s consent, that such projects were reasonably prepared on bases reflecting the best currently available estimates and judgments of management as to the future financial performance of the Company, and Roth expressed no view as to the assumptions on which they were based or the assumed probabilities associated with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direction of the Company's management, Roth assumed that the assets and operations to be retained by the Company following the Sale (including its non-airport health and wellness retail operations and retained Naples Wax operations) have de minimis value and, accordingly, treated the Company's consolidated financial information and projections as representative of the Divestiture Group and analyzed the Consideration as if all of the assets of the Company were transferred in the Sale. Roth further assumed, at the direction of the Company's management, that substantially all of the Company's cash is attributable to the Divestiture Group and, other than any minimum cash required to remain in the business at the Closing, will be swept out of the Divestiture Group prior to the Closing, and that the Company's existing cash and the net proceeds of the Sale will be retained by the Company for general corporate purposes, including potential future acquisitions and other strategic transactions, and will not be distributed to the Company's stockholders. Accordingly, Roth's financial analyses contemplated the Divestiture Group on a cash-free basis. Roth expressed no view as to the value of any retained assets or operations of the Company, the retention, deployment or use of the Company’s cash or the net proceeds of the Sale, or the value, if any, ultimately realized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did not address the allocation of the Consideration among the Company and the holders of any XpresTest RSAs, the Company’s use of proceeds, or the amount, timing or manner of any distribution of the proceeds of the Sale to the Company’s stockholders. The Consideration is subject to adjustment as set forth in the Purchase Agreement, and a portion of the Consideration will be placed into escrow at the Closing and will be subject to post-closing purchase price adjustment and to the indemnification obligations of the Company. For purposes of its opinion, and at the direction of the Company, Roth assumed that the full amount of the Consideration (including amounts placed into escrow at the Closing) will be paid in accordance with the terms of the Purchase Agreement and gave full credit to such amounts in its financial analysis. Roth expressed no view as to any post-closing purchase price adjustment, the release, retention, offset or application of any escrowed amounts, the incurrence or satisfaction of any indemnification obligations, the Company's use of proceeds, or the amount, timing or manner of any distribution to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did not perform any appraisals or valuations of any specific assets or liabilities (fixed, contingent or otherwise) of the Company or the Divestiture Group and was not furnished or provided with any such appraisals or valuations. Roth undertook no independent analysis of any pending or threatened litigation, regulatory action, possible unasserted claims or other contingent liabilities to which the Company or any of its affiliates is a party or may be subject, including the obligations relating to the arbitration award involving Cordial Endeavor Concessions, and, at the direction of the Company, Roth’s opinion makes no assumption concerning, and therefore does not consider, the possible assertion of claims, outcomes or damages arising out of any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that the final executed Purchase Agreement would not differ in any material respect from the draft Purchase Agreement reviewed by it and that the Sale would be consummated in accordance with the terms set forth in the Purchase Agreement without any waiver, amendment or delay of any terms or conditions. Roth also assumed that, in connection with the receipt of all necessary governmental, regulatory or other approvals and consents (including any required lease or concession consents) required for the Sale, no delays, limitations, conditions or restrictions would be imposed that would have a material adverse effect on the Company or the Divestiture Group or the contemplated benefits expected to be derived from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although Roth provided its opinion as to the fairness of the consideration to be received by the Company pursuant to the Purchase Agreement from a financial point of view to the Company, Roth expressed no opinion or recommendation to the Board regarding whether the Company should proceed with the Sale. Roth’s opinion was directed to the Board in connection with its consideration of the Sale and the Purchase Agreement and was not intended to be, and does not constitute, a recommendation to any other persons in respect of the Sale, including as to how any stockholder of the Company should vote with respect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did not address any other aspect or implication of the Purchase Agreement or any agreement, arrangement or understanding entered into in connection with the Purchase Agreement or otherwise, including, without limitation: the Company's underlying business decision to proceed with the Sale; the relative merits of the Sale as compared to any alternative business strategies or transactions; any other transaction to which the Company may be or become a party, including any proposed merger, business combination or other transaction with American Ventures LLC or its affiliates and the related support and voting arrangements; the retained businesses and assets of the Company; the fairness of the amount or nature of any compensation to, or any employment, retention, equity or other arrangements with, any officers, directors or employees of any party; the availability, terms or sufficiency of any financing to be obtained by the Buyer or the Buyer's or Guarantor's ability to fund or consummate the Sale; or the solvency or viability of the Company or the Buyer before or after the consummation of the Sale, or the prices at which the Company’s securities may trade at any time. Roth expressed no opinion as to the underlying valuation or future performance of the Company or Buyer. Roth is not a legal, tax, accounting or regulatory advisor and relied upon the assessments of the Company and its advisors with respect to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Material Financial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financial analyses performed by Roth in connection with rendering its opinion. This summary is not a complete description of the financial analyses performed and factors considered by Roth. The preparation of a fairness opinion is a complex process and is not necessarily susceptible to partial analysis or summary description. Roth arrived at its opinion based on the results of all analyses undertaken and assessed as a whole, and did not draw conclusions from, or with regard to, any individual analysis or factor. Considering the data set forth below without considering the full narrative description of the financial analyses, including the methodologies and assumptions underlying the analyses, could create a misleading or incomplete view. Except as otherwise noted, the following quantitative information, to the extent based on market data, is based on market data as of July 2, 2026, and is not necessarily indicative of current or future market conditions. The implied equity value reference ranges described below were compared to the Consideration and to the total value to the Company implied by the Sale, as summarized under "Consideration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the components of the value to be received by the Company in the Sale, consisting of the base purchase price of $13.0 million (on a cash-free, debt-free basis), the Company's cash swept out of the Divestiture Group prior to Closing, the minimum cash remaining in the Divestiture Group (credited through the purchase price), and the estimated net working capital adjustment, in each case as provided for in the Purchase Agreement, and the amounts to be held in escrow at Closing. The following table sets forth the implied total value to the Company and the implied total value net of escrowed amounts:</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4670"/>
        <w:gridCol w:w="60"/>
        <w:gridCol w:w="125"/>
        <w:gridCol w:w="380"/>
        <w:gridCol w:w="75"/>
      </w:tblGrid>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Purchase Price (cash-free / debt-free)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distributed pre-closing</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left in Divestiture Group, adjusted in 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Working Capital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Value to XWELL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Amount held in escrow accounts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Value to XWELL net of escrow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its opinion, and at the direction of the Company’s management, Roth assumed that the full amount of the Consideration (including the amounts held in escrow) will be paid in accordance with the terms of the Purchase Agreement. Also, at the direction of the Company’s management, the Consideration for purposes of Roth’s opinion was based on the offer to equity value bridge set forth above as “Total Value to XWELL.”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At the direction of the Company’s management team, total cash and cash equivalents as of March 31, 2026 of $17.1 million less $1.5 million cash left in the Divestiture Group being transferred to Buyer.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Reflects $1.65 million indemnity escrow, $0.25 million Atlanta escrow, and $0.75 million adjustment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Discounted Cash Flow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performed a discounted cash flow analysis of the Company by estimating the present value of the Company's projected unlevered, after-tax free cash flows for the fiscal years ending December 31, 2026 through December 31, 2031, based on the Financial Projections prepared by the Company's management. For further information on the Financial Projections made available to Roth, see the section entitled “</w:t>
      </w:r>
      <w:r>
        <w:rPr>
          <w:rFonts w:ascii="Times New Roman;Times;Serif" w:hAnsi="Times New Roman;Times;Serif"/>
          <w:b w:val="false"/>
          <w:i/>
          <w:caps w:val="false"/>
          <w:smallCaps w:val="false"/>
          <w:sz w:val="20"/>
        </w:rPr>
        <w:t>Certain Financial Projections</w:t>
      </w:r>
      <w:r>
        <w:rPr>
          <w:rFonts w:ascii="Times New Roman;Times;Serif" w:hAnsi="Times New Roman;Times;Serif"/>
          <w:b w:val="false"/>
          <w:i w:val="false"/>
          <w:caps w:val="false"/>
          <w:smallCaps w:val="false"/>
          <w:sz w:val="20"/>
        </w:rPr>
        <w:t>.” Roth did not independently verify the Financial Projections but assumed, with the Board’s consent, that they were reasonably prepared on bases reflecting the best currently available estimates and judgments of the Company’s management concerning future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calculated a range of terminal values by applying a selected range of terminal revenue exit multiples of 0.4x to 1.4x to the Company's estimated terminal-year revenue, with such range selected based on the trading multiples of the selected public companies described below. The projected cash flows and terminal values were then discounted to present value as of July 2, 2026 using a mid-year discounting convention and a range of discount rates of 14.3% to 15.3%, based on Roth’s estimate of the Company’s weighted average cost of capital calculation (“WACC”).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WACC was calculated by adding (i) the estimated market value of equity as a percentage of the total market value of XWELL’s capital multiplied by XWELL’s estimated cost of equity, and (ii) the estimated market value of debt as a percentage of the total market value of XWELL’s capital multiplied by XWELL’s estimated after-tax market cost of debt. The estimated market value of XWELL’s debt and equity were calculated using the average debt to equity ratios of the comparable publicly traded companies. The estimated cost of equity was calculated using the capital asset pricing model, which took into account the betas of comparable publicly traded companies, the risk-free rate, a historical equity market risk premium and a historical small capitalization risk premium, which risk premiums were sourced from the 2024 Kroll Cost of Capital Module. The cost of equity also included a size premium which was based on CRSP Deciles Size Study. The estimated cost of debt was based on publicly available data as of July 2, 2026. The following table sets forth the WACC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760"/>
      </w:tblGrid>
      <w:tr>
        <w:trPr/>
        <w:tc>
          <w:tcPr>
            <w:tcW w:w="4760" w:type="dxa"/>
            <w:tcBorders>
              <w:bottom w:val="single" w:sz="8" w:space="0" w:color="000000"/>
            </w:tcBorders>
            <w:vAlign w:val="center"/>
          </w:tcPr>
          <w:p>
            <w:pPr>
              <w:pStyle w:val="TableContents"/>
              <w:bidi w:val="0"/>
              <w:spacing w:before="0" w:after="283"/>
              <w:jc w:val="both"/>
              <w:rPr>
                <w:b/>
              </w:rPr>
            </w:pPr>
            <w:r>
              <w:rPr>
                <w:b/>
              </w:rPr>
              <w:t>Weighted Average Cost of Capital Calculation</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derived an implied enterprise value (“EV”) range and then derived an implied equity value range by subtracting total debt (excluding leases) of $0.0, adding cash, cash equivalents, marketable securities, and restricted cash of $17.1 million, and subtracting minority interest of $9.7 million.</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97204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5420"/>
                              <w:gridCol w:w="60"/>
                              <w:gridCol w:w="60"/>
                              <w:gridCol w:w="380"/>
                              <w:gridCol w:w="230"/>
                            </w:tblGrid>
                            <w:tr>
                              <w:trPr/>
                              <w:tc>
                                <w:tcPr>
                                  <w:tcW w:w="5420" w:type="dxa"/>
                                  <w:tcBorders/>
                                  <w:vAlign w:val="center"/>
                                </w:tcPr>
                                <w:p>
                                  <w:pPr>
                                    <w:pStyle w:val="TableContents"/>
                                    <w:bidi w:val="0"/>
                                    <w:spacing w:before="0" w:after="283"/>
                                    <w:jc w:val="left"/>
                                    <w:rPr>
                                      <w:b/>
                                      <w:sz w:val="20"/>
                                    </w:rPr>
                                  </w:pPr>
                                  <w:r>
                                    <w:rPr>
                                      <w:b/>
                                      <w:sz w:val="20"/>
                                    </w:rPr>
                                    <w:t>Step 1 - Calculate Average Portfolio Beta (a)</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Average Unlevered Portfolio Equity Beta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0.69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2 - Arrive at XWELL Equity Beta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Average Unlevered Portfolio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0.69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XWELL Debt-to-Equity Ratio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58.2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 (c)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Levered XWELL Equity Beta (d)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0.99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3 - Calculate 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Risk Free Rate (e)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 Risk Premium (f)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Levered XWELL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0.99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Size Premium (g)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16.3</w:t>
                                  </w:r>
                                </w:p>
                              </w:tc>
                              <w:tc>
                                <w:tcPr>
                                  <w:tcW w:w="230" w:type="dxa"/>
                                  <w:tcBorders/>
                                  <w:shd w:fill="FFFFFF" w:val="clear"/>
                                  <w:vAlign w:val="center"/>
                                </w:tcPr>
                                <w:p>
                                  <w:pPr>
                                    <w:pStyle w:val="TableContents"/>
                                    <w:bidi w:val="0"/>
                                    <w:spacing w:before="0" w:after="283"/>
                                    <w:jc w:val="left"/>
                                    <w:rPr>
                                      <w:b/>
                                      <w:sz w:val="20"/>
                                    </w:rPr>
                                  </w:pPr>
                                  <w:r>
                                    <w:rPr>
                                      <w:b/>
                                      <w:sz w:val="20"/>
                                    </w:rPr>
                                    <w:t>%</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b/>
                                      <w:sz w:val="20"/>
                                    </w:rPr>
                                  </w:pPr>
                                  <w:r>
                                    <w:rPr>
                                      <w:b/>
                                      <w:sz w:val="20"/>
                                    </w:rPr>
                                    <w:t>Step 4 - Calculate Cost of Debt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10 Year Corporate Spread (h)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Risk 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XWELL Adjusted Cost of Debt Capital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12.2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XWELL Adjusted After-tax Cost of Debt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9.2</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5 - Calculate Weighted Average Cost of Capital (WACC) (j)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Debt-to-Capital Ratio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21.5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Equity-to-Capital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78.5</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After-tax Cost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9.2</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14.8</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5420"/>
                        <w:gridCol w:w="60"/>
                        <w:gridCol w:w="60"/>
                        <w:gridCol w:w="380"/>
                        <w:gridCol w:w="230"/>
                      </w:tblGrid>
                      <w:tr>
                        <w:trPr/>
                        <w:tc>
                          <w:tcPr>
                            <w:tcW w:w="5420" w:type="dxa"/>
                            <w:tcBorders/>
                            <w:vAlign w:val="center"/>
                          </w:tcPr>
                          <w:p>
                            <w:pPr>
                              <w:pStyle w:val="TableContents"/>
                              <w:bidi w:val="0"/>
                              <w:spacing w:before="0" w:after="283"/>
                              <w:jc w:val="left"/>
                              <w:rPr>
                                <w:b/>
                                <w:sz w:val="20"/>
                              </w:rPr>
                            </w:pPr>
                            <w:r>
                              <w:rPr>
                                <w:b/>
                                <w:sz w:val="20"/>
                              </w:rPr>
                              <w:t>Step 1 - Calculate Average Portfolio Beta (a)</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Average Unlevered Portfolio Equity Beta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0.69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2 - Arrive at XWELL Equity Beta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Average Unlevered Portfolio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0.69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XWELL Debt-to-Equity Ratio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58.2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 (c)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Levered XWELL Equity Beta (d)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0.99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3 - Calculate 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Risk Free Rate (e)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 Risk Premium (f)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Levered XWELL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0.99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Size Premium (g)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16.3</w:t>
                            </w:r>
                          </w:p>
                        </w:tc>
                        <w:tc>
                          <w:tcPr>
                            <w:tcW w:w="230" w:type="dxa"/>
                            <w:tcBorders/>
                            <w:shd w:fill="FFFFFF" w:val="clear"/>
                            <w:vAlign w:val="center"/>
                          </w:tcPr>
                          <w:p>
                            <w:pPr>
                              <w:pStyle w:val="TableContents"/>
                              <w:bidi w:val="0"/>
                              <w:spacing w:before="0" w:after="283"/>
                              <w:jc w:val="left"/>
                              <w:rPr>
                                <w:b/>
                                <w:sz w:val="20"/>
                              </w:rPr>
                            </w:pPr>
                            <w:r>
                              <w:rPr>
                                <w:b/>
                                <w:sz w:val="20"/>
                              </w:rPr>
                              <w:t>%</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b/>
                                <w:sz w:val="20"/>
                              </w:rPr>
                            </w:pPr>
                            <w:r>
                              <w:rPr>
                                <w:b/>
                                <w:sz w:val="20"/>
                              </w:rPr>
                              <w:t>Step 4 - Calculate Cost of Debt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10 Year Corporate Spread (h)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Risk 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XWELL Adjusted Cost of Debt Capital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12.2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XWELL Adjusted After-tax Cost of Debt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9.2</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5 - Calculate Weighted Average Cost of Capital (WACC) (j)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Debt-to-Capital Ratio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21.5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Equity-to-Capital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78.5</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After-tax Cost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9.2</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14.8</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3110230" cy="8877300"/>
                <wp:effectExtent l="0" t="0" r="0" b="0"/>
                <wp:wrapSquare wrapText="left"/>
                <wp:docPr id="4" name="Frame2"/>
                <a:graphic xmlns:a="http://schemas.openxmlformats.org/drawingml/2006/main">
                  <a:graphicData uri="http://schemas.microsoft.com/office/word/2010/wordprocessingShape">
                    <wps:wsp>
                      <wps:cNvSpPr txBox="1"/>
                      <wps:spPr>
                        <a:xfrm>
                          <a:off x="0" y="0"/>
                          <a:ext cx="3110230" cy="887730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Beta was found using Capital IQ market data as of 7/2/2026 and derived from the average of selected comparable companies. Roth Capital uses mid-year convention to discount cash flows as Roth Capital assumes that cash flows come in continuously throughout the year.</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Target Debt-to-Equity Ratio based on peer group average.</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Effective tax rate provided by XWELL's management.</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Levered Beta = Unlevered Beta * ( 1 + ((D/E) x (1 - T)) + P/E)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Source: 10-Year Treasury yield as of 7/2/2026</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Source: 2024 Kroll Cost of Capital Module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Source: CRSP Deciles Size Study as of 12/31/2023</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Sourced from Capital IQ assumed B 10-year corporate spread as of 7/2/2026</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 Year Corporate Spread - Risk Free Rate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WACC = (Debt-to-Capital x Cost of Debt x (1 - Tax Rate)) + (Equityto- Capital x Cost of Equity Capital)</w:t>
                                  </w:r>
                                </w:p>
                              </w:tc>
                            </w:tr>
                          </w:tbl>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Beta was found using Capital IQ market data as of 7/2/2026 and derived from the average of selected comparable companies. Roth Capital uses mid-year convention to discount cash flows as Roth Capital assumes that cash flows come in continuously throughout the year.</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Target Debt-to-Equity Ratio based on peer group average.</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Effective tax rate provided by XWELL's management.</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Levered Beta = Unlevered Beta * ( 1 + ((D/E) x (1 - T)) + P/E)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Source: 10-Year Treasury yield as of 7/2/2026</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Source: 2024 Kroll Cost of Capital Module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Source: CRSP Deciles Size Study as of 12/31/2023</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Sourced from Capital IQ assumed B 10-year corporate spread as of 7/2/2026</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 Year Corporate Spread - Risk Free Rate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WACC = (Debt-to-Capital x Cost of Debt x (1 - Tax Rate)) + (Equityto- Capital x Cost of Equity Capital)</w:t>
                            </w:r>
                          </w:p>
                        </w:tc>
                      </w:tr>
                    </w:tbl>
                    <w:p>
                      <w:pPr>
                        <w:pStyle w:val="TextBody"/>
                        <w:bidi w:val="0"/>
                        <w:spacing w:before="0" w:after="0"/>
                        <w:ind w:left="0" w:right="0" w:hanging="0"/>
                        <w:jc w:val="both"/>
                        <w:rPr>
                          <w:caps w:val="false"/>
                          <w:smallCaps w:val="false"/>
                        </w:rPr>
                      </w:pPr>
                      <w:r>
                        <w:rPr>
                          <w:caps w:val="false"/>
                          <w:smallCaps w:val="false"/>
                        </w:rPr>
                        <w:t> </w:t>
                      </w:r>
                    </w:p>
                  </w:txbxContent>
                </v:textbox>
                <w10:wrap type="square" side="lef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 approximate implied equity value reference range for the Company:</w:t>
      </w:r>
    </w:p>
    <w:p>
      <w:pPr>
        <w:pStyle w:val="TextBody"/>
        <w:bidi w:val="0"/>
        <w:spacing w:before="0" w:after="0"/>
        <w:ind w:left="0" w:right="0" w:hanging="0"/>
        <w:jc w:val="both"/>
        <w:rPr>
          <w:caps w:val="false"/>
          <w:smallCaps w:val="false"/>
        </w:rPr>
      </w:pPr>
      <w:r>
        <w:rPr>
          <w:caps w:val="false"/>
          <w:smallCaps w:val="false"/>
        </w:rPr>
        <w:t> </w:t>
      </w:r>
    </w:p>
    <w:tbl>
      <w:tblPr>
        <w:tblW w:w="4602" w:type="dxa"/>
        <w:jc w:val="left"/>
        <w:tblInd w:w="0" w:type="dxa"/>
        <w:tblLayout w:type="fixed"/>
        <w:tblCellMar>
          <w:top w:w="0" w:type="dxa"/>
          <w:left w:w="0" w:type="dxa"/>
          <w:bottom w:w="0" w:type="dxa"/>
          <w:right w:w="0" w:type="dxa"/>
        </w:tblCellMar>
      </w:tblPr>
      <w:tblGrid>
        <w:gridCol w:w="2615"/>
        <w:gridCol w:w="60"/>
        <w:gridCol w:w="196"/>
        <w:gridCol w:w="693"/>
        <w:gridCol w:w="126"/>
        <w:gridCol w:w="94"/>
        <w:gridCol w:w="196"/>
        <w:gridCol w:w="527"/>
        <w:gridCol w:w="9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95" w:type="dxa"/>
            <w:tcBorders/>
            <w:vAlign w:val="center"/>
          </w:tcPr>
          <w:p>
            <w:pPr>
              <w:pStyle w:val="TableContents"/>
              <w:bidi w:val="0"/>
              <w:spacing w:before="0" w:after="283"/>
              <w:jc w:val="left"/>
              <w:rPr/>
            </w:pPr>
            <w:r>
              <w:rPr/>
              <w:t> </w:t>
            </w:r>
          </w:p>
        </w:tc>
      </w:tr>
      <w:tr>
        <w:trPr/>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Cash Flow Analysis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Public Companies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publicly available financial and stock market information for ten selected publicly traded companies that Roth deemed generally relevant, operating in the spa, beauty, wellness and salon services industries and the diagnostics and testing services industries (collectively, the "selected companies"):</w:t>
      </w:r>
    </w:p>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1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OneSpaWorld Holdings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Beauty Farm Medical and Health Industry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AB&amp;Company Co.,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MPM Corpóreos S.A.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Siam Wellness Group Public Company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QuidelOrtho Corporation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Ginkgo Bioworks Holdings,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Castle Biosciences,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Clinical Labs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Fulgent Genetics,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enterprise values of the selected companies, calculated as fully diluted equity values based on closing stock prices as of July 2, 2026 plus total debt (excluding leases), preferred equity and non-controlling interests, less cash and cash equivalents, and analyzed such enterprise values as multiples of estimated revenue for calendar years 2026, 2027 and 2028, in each case capping multiples at 100.0x EV/Revenue to exclude statistical outliers.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Roth's professional judgment and experience, the following ranges were selected and applied to the corresponding financial data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2026 revenue multiples of 0.2x to 1.2x , with a mid-point 0.7x based on the 25th percentile of trading comparables;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2027 revenue multiples of 0.2x to 1.2x, with a mid-point of 0.7x based on the 25th percentile of trading comparables;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2028 revenue multiples of 0.4x to 1.4x, with a mid-point of 0.9x based on the 25th percentile of trading comparables.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 approximate implied equity value reference ranges for the Company:</w:t>
      </w:r>
    </w:p>
    <w:p>
      <w:pPr>
        <w:pStyle w:val="TextBody"/>
        <w:bidi w:val="0"/>
        <w:spacing w:before="0" w:after="0"/>
        <w:ind w:left="0" w:right="0" w:hanging="0"/>
        <w:jc w:val="both"/>
        <w:rPr>
          <w:caps w:val="false"/>
          <w:smallCaps w:val="false"/>
        </w:rPr>
      </w:pPr>
      <w:r>
        <w:rPr>
          <w:caps w:val="false"/>
          <w:smallCaps w:val="false"/>
        </w:rPr>
        <w:t> </w:t>
      </w:r>
    </w:p>
    <w:tbl>
      <w:tblPr>
        <w:tblW w:w="5972" w:type="dxa"/>
        <w:jc w:val="left"/>
        <w:tblInd w:w="0" w:type="dxa"/>
        <w:tblLayout w:type="fixed"/>
        <w:tblCellMar>
          <w:top w:w="0" w:type="dxa"/>
          <w:left w:w="0" w:type="dxa"/>
          <w:bottom w:w="0" w:type="dxa"/>
          <w:right w:w="0" w:type="dxa"/>
        </w:tblCellMar>
      </w:tblPr>
      <w:tblGrid>
        <w:gridCol w:w="2885"/>
        <w:gridCol w:w="60"/>
        <w:gridCol w:w="60"/>
        <w:gridCol w:w="380"/>
        <w:gridCol w:w="60"/>
        <w:gridCol w:w="60"/>
        <w:gridCol w:w="60"/>
        <w:gridCol w:w="380"/>
        <w:gridCol w:w="60"/>
        <w:gridCol w:w="60"/>
        <w:gridCol w:w="202"/>
        <w:gridCol w:w="617"/>
        <w:gridCol w:w="97"/>
        <w:gridCol w:w="97"/>
        <w:gridCol w:w="202"/>
        <w:gridCol w:w="617"/>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EV/Calendar Year 2026P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Calendar Year 2027P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Calendar Year 2028P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selected companies is identical to XWELL. In evaluating the selected companies, Roth made numerous judgments and assumptions with regard to industry performance, general business, economic, market and financial conditions and other matters, many of which are beyond the control of XWELL and Face Haus.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Precedent Transactions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publicly available financial information for fourteen selected transactions announced or completed since 2015 involving target companies or businesses in the spa, beauty and wellness services industries and the diagnostics and testing services industries that Roth deemed relevant (collectively, the "selected transactions"):</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040"/>
        <w:gridCol w:w="2570"/>
        <w:gridCol w:w="2735"/>
      </w:tblGrid>
      <w:tr>
        <w:trPr/>
        <w:tc>
          <w:tcPr>
            <w:tcW w:w="104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Closed Date</w:t>
            </w:r>
          </w:p>
        </w:tc>
        <w:tc>
          <w:tcPr>
            <w:tcW w:w="257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Target</w:t>
            </w:r>
          </w:p>
        </w:tc>
        <w:tc>
          <w:tcPr>
            <w:tcW w:w="273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Acquirer</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Mar-25</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Metropolis Healthcare Limited</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Diagnostics Private Limited</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Aug-24</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Quest Diagnostics Incorporated</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LifeLabs Inc</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Aug-24</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Labcorp Holdings Inc.</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Invitae Corporation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00" w:type="dxa"/>
        <w:jc w:val="left"/>
        <w:tblInd w:w="0" w:type="dxa"/>
        <w:tblLayout w:type="fixed"/>
        <w:tblCellMar>
          <w:top w:w="0" w:type="dxa"/>
          <w:left w:w="0" w:type="dxa"/>
          <w:bottom w:w="28" w:type="dxa"/>
          <w:right w:w="0" w:type="dxa"/>
        </w:tblCellMar>
      </w:tblPr>
      <w:tblGrid>
        <w:gridCol w:w="650"/>
        <w:gridCol w:w="4355"/>
        <w:gridCol w:w="2795"/>
      </w:tblGrid>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Jun-24</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Humania GCC Holding Limited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Kaya Middle East FZE</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Fleury S.A.</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Instituto Hermes Pardini S.A.</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Biosynex SA</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Chembio Diagnostics,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Pfizer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Lucira Health,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Dec-19</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Gribbles Pathology (Malaysia) </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MPath Sdn Bhd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Nov-17</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Ci:z Holdings Co., Ltd.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Sedona Enterprise Co., Ltd.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Aug-17</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Invitae Corporation</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 Start Genetics,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Dec-16</w:t>
            </w:r>
          </w:p>
        </w:tc>
        <w:tc>
          <w:tcPr>
            <w:tcW w:w="4355" w:type="dxa"/>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FORM Holdings Corp. (nka: XWELL,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XpresSpa Holdings, LLC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Dec-16</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Whittlebury Park LLP</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Whittlebury Hall and Spa Limited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Dec-15</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Nemo Parent,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Steiner Leisure Limited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Oct-15</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Face Group Limited (nka: Hiro Brands Limited)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Heber Davis Pty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transaction values, calculated as the implied enterprise values of the target companies or businesses based on the consideration payable in the selected transactions, as multiples of the most recently disclosed last-twelve-months revenue as of the respective announcement dates. Based on Roth's professional judgment and experience, Roth selected a range of last-twelve-months revenue multiples of 0.04x to 1.0x with a mid-point 0.5x based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of transaction comparables and applied such range to the corresponding financial data of the Company. This analysis indicated the following approximate implied equity value reference range for the Company:</w:t>
      </w:r>
    </w:p>
    <w:p>
      <w:pPr>
        <w:pStyle w:val="TextBody"/>
        <w:bidi w:val="0"/>
        <w:spacing w:before="0" w:after="0"/>
        <w:ind w:left="0" w:right="0" w:hanging="0"/>
        <w:jc w:val="both"/>
        <w:rPr>
          <w:caps w:val="false"/>
          <w:smallCaps w:val="false"/>
        </w:rPr>
      </w:pPr>
      <w:r>
        <w:rPr>
          <w:caps w:val="false"/>
          <w:smallCaps w:val="false"/>
        </w:rPr>
        <w:t> </w:t>
      </w:r>
    </w:p>
    <w:tbl>
      <w:tblPr>
        <w:tblW w:w="6017" w:type="dxa"/>
        <w:jc w:val="left"/>
        <w:tblInd w:w="0" w:type="dxa"/>
        <w:tblLayout w:type="fixed"/>
        <w:tblCellMar>
          <w:top w:w="0" w:type="dxa"/>
          <w:left w:w="0" w:type="dxa"/>
          <w:bottom w:w="0" w:type="dxa"/>
          <w:right w:w="0" w:type="dxa"/>
        </w:tblCellMar>
      </w:tblPr>
      <w:tblGrid>
        <w:gridCol w:w="2825"/>
        <w:gridCol w:w="60"/>
        <w:gridCol w:w="60"/>
        <w:gridCol w:w="485"/>
        <w:gridCol w:w="60"/>
        <w:gridCol w:w="60"/>
        <w:gridCol w:w="60"/>
        <w:gridCol w:w="380"/>
        <w:gridCol w:w="60"/>
        <w:gridCol w:w="60"/>
        <w:gridCol w:w="223"/>
        <w:gridCol w:w="492"/>
        <w:gridCol w:w="107"/>
        <w:gridCol w:w="107"/>
        <w:gridCol w:w="223"/>
        <w:gridCol w:w="680"/>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Last Twelve Months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and considered a liquidation analysis prepared by the Company's management, based on the Company's consolidated balance sheet as of March 31, 2026. The liquidation analysis prepared by management of the Company estimated the net proceeds that would potentially be available to the Company's stockholders in hypothetical liquidation of the Company. The liquidation analysis was approved for such review and consideration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analysis reflected management's assumptions as to estimated recovery percentages applied to the Company's assets, and assumed estimated costs of liquidation ranging from $1.5 million to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considered the conclusion of this liquidation analysis, which provided that net proceeds available for distribution to stockholders in such a hypothetical liquidation would be equal an approximate implied equity value reference range for the Company as follows:</w:t>
      </w:r>
    </w:p>
    <w:p>
      <w:pPr>
        <w:pStyle w:val="TextBody"/>
        <w:bidi w:val="0"/>
        <w:spacing w:before="0" w:after="0"/>
        <w:ind w:left="0" w:right="0" w:hanging="0"/>
        <w:jc w:val="both"/>
        <w:rPr>
          <w:caps w:val="false"/>
          <w:smallCaps w:val="false"/>
        </w:rPr>
      </w:pPr>
      <w:r>
        <w:rPr>
          <w:caps w:val="false"/>
          <w:smallCaps w:val="false"/>
        </w:rPr>
        <w:t> </w:t>
      </w:r>
    </w:p>
    <w:tbl>
      <w:tblPr>
        <w:tblW w:w="3727" w:type="dxa"/>
        <w:jc w:val="left"/>
        <w:tblInd w:w="0" w:type="dxa"/>
        <w:tblLayout w:type="fixed"/>
        <w:tblCellMar>
          <w:top w:w="0" w:type="dxa"/>
          <w:left w:w="0" w:type="dxa"/>
          <w:bottom w:w="0" w:type="dxa"/>
          <w:right w:w="0" w:type="dxa"/>
        </w:tblCellMar>
      </w:tblPr>
      <w:tblGrid>
        <w:gridCol w:w="1760"/>
        <w:gridCol w:w="60"/>
        <w:gridCol w:w="249"/>
        <w:gridCol w:w="548"/>
        <w:gridCol w:w="119"/>
        <w:gridCol w:w="119"/>
        <w:gridCol w:w="249"/>
        <w:gridCol w:w="548"/>
        <w:gridCol w:w="75"/>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Analysis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Trading Range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Roth reviewed the historical trading prices of the Company's Common Stock during the 52-week period ended July 2, 2026, during which the closing price ranged from a low of $0.26 to a high of $2.20 per share, corresponding to an implied equity market capitalization ranging from approximately $2.2 million to $18.6 million. Roth noted certain events during the period, including the Company's receipt of, and subsequent regaining of compliance with respect to, a Nasdaq notice and the announcement of a $31.3 million private placement with American Ventures LLC Series XXIV XWELL in February 2026. This information was reviewed for reference purposes only and was not relied upon for valuation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set forth above does not contain a complete description of the analyses performed by Roth, but does summarize the material analyses performed by Roth in rendering its opinion. The preparation of a fairness opinion is a complex process involving numerous factors and considerations, and therefore not necessarily susceptible to partial analysis or summary description. Roth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the Roth opinion. In arriving at its opinion, Roth considered the results of all of its analyses with no particular weight assigned to any specific factor or analysis. Instead, Roth made its determination as to fairness on the basis of its experience and financial judgment after considering the results of all of its analyses. The fact that any specific analysis has been referred to in the summary above before any other analyses is not meant to indicate that such analysis was given greater weight than any other analysis. In addition, the ranges of valuations resulting from any particular analysis described above should not be taken to be Roth’s view of the actual value of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and financial analyses were only one of many factors considered by the Board in its evaluation of the Sale and should not be viewed as determinative of the views of the Board or the Company’s management with respect to the Sale or the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Roth is a full-service securities firm engaged in securities trading and brokerage activities, as well as providing investment banking and other financial services. In the ordinary course of business, Roth and its affiliates may acquire, hold, or sell, for their own accounts and for the accounts of customers, equity, debt and other securities and financial instruments of the Company, the Buyer, and their respective affiliates. Except as described immediately below, during the two years preceding the date of its opinion, Roth did not have any material relationship with, or receive any material fees from, the Company, the Buyer, the Guarantor, American Ventures LLC Series XXIV XWELL, or any other party to the Sale, nor is any such material relationship or related compensation mutually understood to be contemplated.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between the Company and Roth, the Company agreed to pay Roth a fee of $200,000 for rendering its opinion, which fee was payable upon delivery of the opinion and is not contingent upon the conclusion reached in the opinion or upon consummation of the Transaction. The Company has also agreed to reimburse Roth for certain expenses and to indemnify Roth against certain liabilities arising out of its engagement. Except as described above, Roth will not receive any other compensation in connection with the Transaction. The issuance of Roth’s opinion was approved by an authorized internal fairness committee of Roth.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in connection with performing and rendering its services to the Board of Directors, Roth Capital was not authorized by the Board of Directors to solicit, and did not solicit, expressions of interest from other parties with respect to a transaction involving the Company or the Divestiture Group. Other than in connection with rendering its opinion, Roth did not act as financial advisor to the Company, the Buyer or any other party in connection with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applicable legal and regulatory requirements, Roth has adopted policies and procedures to establish and maintain the independence of its research departments and personnel. As a result, Roth’s research analysts may hold views, make statements or investment recommendations and/or publish research reports with respect to the Company or the Sale that differ from the views of its investment banking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sa_021"/>
      <w:bookmarkEnd w:id="45"/>
      <w:r>
        <w:rPr>
          <w:rFonts w:ascii="Times New Roman;Times;Serif" w:hAnsi="Times New Roman;Times;Serif"/>
          <w:b/>
          <w:i w:val="false"/>
          <w:caps w:val="false"/>
          <w:smallCaps w:val="false"/>
          <w:sz w:val="20"/>
        </w:rPr>
        <w:t>Certain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as a matter of general practice, publicly disclose long-term projections as to future performance, revenues, gross profit, operating income, or other financial results. However, in connection with its evaluation of the Sale, the Company’s management prepared certain non-public financial projections (the “</w:t>
      </w:r>
      <w:r>
        <w:rPr>
          <w:rFonts w:ascii="Times New Roman;Times;Serif" w:hAnsi="Times New Roman;Times;Serif"/>
          <w:b/>
          <w:i w:val="false"/>
          <w:caps w:val="false"/>
          <w:smallCaps w:val="false"/>
          <w:sz w:val="20"/>
        </w:rPr>
        <w:t>Financial Projections</w:t>
      </w:r>
      <w:r>
        <w:rPr>
          <w:rFonts w:ascii="Times New Roman;Times;Serif" w:hAnsi="Times New Roman;Times;Serif"/>
          <w:b w:val="false"/>
          <w:i w:val="false"/>
          <w:caps w:val="false"/>
          <w:smallCaps w:val="false"/>
          <w:sz w:val="20"/>
        </w:rPr>
        <w:t>”) with respect to net revenue, gross profit, operating income, net operating profit after taxes and unlevered 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are included in this Proxy Statement solely to provide the Company’s stockholders access to information made available to the Board in connection with its evaluation of the Sale and to Roth in connection with Roth’s use of such projections in the financial analyses performed by Roth in connection with rendering its opinion to the Board as described in the section captioned “Proposal 1: The Sale - Opinion of the Company’s Financial Advisor.” The Financial Projections are not included in this Proxy Statement in order to induce any Company stockholders to vote in favor of any of the proposals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presented with numerical specificity, the Financial Projections set forth below are not an estimate of future performance and not historical fact. They are based upon, and reflect, numerous judgments, estimates and assumptions made by the Company’s management with respect to industry performance, general business, economic, regulatory, market and financial conditions and other future events, as well as matters specific to the Company’s business , including the matters described in the sections titled "Cautionary Statement Concerning Forward-Looking Statements" and "Risk Factors," all of which are difficult to predict and many of which are beyond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the Financial Projections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XpresSpa business annual growth of 3.9% and XpresTest business annual growth at 4.0%, kept constant from projected fiscal year ended December 31, 2027 to December 31, 2031;</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Cost of Goods Sold remaining flat in projected years fiscal years ended December 31, 2027 to December 31, 2031;</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Days Sales Outstanding of 19 days, days inventory outstanding of 9 days, and days payable outstanding of 30 days kept constant from projected fiscal year ended December 31, 2026 to December 31, 2031;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1"/>
        <w:gridCol w:w="235"/>
        <w:gridCol w:w="9899"/>
      </w:tblGrid>
      <w:tr>
        <w:trPr/>
        <w:tc>
          <w:tcPr>
            <w:tcW w:w="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Symbol" w:hAnsi="Symbol"/>
              </w:rPr>
            </w:pPr>
            <w:r>
              <w:rPr>
                <w:rFonts w:ascii="Symbol" w:hAnsi="Symbol"/>
              </w:rPr>
              <w:t>·</w:t>
            </w:r>
          </w:p>
        </w:tc>
        <w:tc>
          <w:tcPr>
            <w:tcW w:w="9899" w:type="dxa"/>
            <w:tcBorders/>
            <w:vAlign w:val="center"/>
          </w:tcPr>
          <w:p>
            <w:pPr>
              <w:pStyle w:val="TableContents"/>
              <w:bidi w:val="0"/>
              <w:spacing w:before="0" w:after="283"/>
              <w:jc w:val="both"/>
              <w:rPr/>
            </w:pPr>
            <w:r>
              <w:rPr/>
              <w:t>Capital Expenditures assumed at 3.0% of total revenue;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Property, plan and equipment depreciation useful life of 5 years from projected fiscal year ended December 31, 2026 to December 31, 2031;</w:t>
            </w:r>
          </w:p>
        </w:tc>
      </w:tr>
    </w:tbl>
    <w:tbl>
      <w:tblPr>
        <w:tblW w:w="5000" w:type="pct"/>
        <w:jc w:val="left"/>
        <w:tblInd w:w="0" w:type="dxa"/>
        <w:tblLayout w:type="fixed"/>
        <w:tblCellMar>
          <w:top w:w="0" w:type="dxa"/>
          <w:left w:w="0" w:type="dxa"/>
          <w:bottom w:w="0" w:type="dxa"/>
          <w:right w:w="0" w:type="dxa"/>
        </w:tblCellMar>
      </w:tblPr>
      <w:tblGrid>
        <w:gridCol w:w="99"/>
        <w:gridCol w:w="327"/>
        <w:gridCol w:w="9779"/>
      </w:tblGrid>
      <w:tr>
        <w:trPr/>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rFonts w:ascii="Symbol" w:hAnsi="Symbol"/>
              </w:rPr>
            </w:pPr>
            <w:r>
              <w:rPr>
                <w:rFonts w:ascii="Symbol" w:hAnsi="Symbol"/>
              </w:rPr>
              <w:t>·</w:t>
            </w:r>
          </w:p>
        </w:tc>
        <w:tc>
          <w:tcPr>
            <w:tcW w:w="9779" w:type="dxa"/>
            <w:tcBorders/>
            <w:vAlign w:val="center"/>
          </w:tcPr>
          <w:p>
            <w:pPr>
              <w:pStyle w:val="TableContents"/>
              <w:bidi w:val="0"/>
              <w:spacing w:before="0" w:after="283"/>
              <w:jc w:val="both"/>
              <w:rPr/>
            </w:pPr>
            <w:r>
              <w:rPr/>
              <w:t>Intangible asset amortization at 5 years;</w:t>
            </w:r>
          </w:p>
        </w:tc>
      </w:tr>
    </w:tbl>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Assumed tax rate of 25%;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Minimum cash cushion of $2 million from projected fiscal years ended December 31, 2026 to December 31, 2031.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a summary of certain key assumptions underlying the Financial Projections and does not purport to be a comprehensive description of all assumptions and estimates reflected therein. Because the Financial Projections cover multiple future years, they become inherently less reliable with each successive year. Accordingly, there can be no assurance that the assumptions underlying the Financial Projections will prove correct, that the Financial Projections will be realized, or that actual results will not differ materially from those reflected in the Financial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amounts contained in the Financial Projections set forth below are non-GAAP financial measures, which are financial performance measures that are not calculated in accordance with GAAP. These non-GAAP financial measures should not be viewed as a substitute for GAAP financial measures and may be different from similarly titled non-GAAP financial measures used by other companies, which limits their usefulness as a comparative measure. Furthermore, there are limitations inherent in non-GAAP financial measures because they exclude charges and credits that are required to be included in a GAAP presentation. The items excluded from net income to arrive at these non-GAAP financial measures are significant components for understanding and assessing the Company’s financial performance and liquidity. Accordingly, these non-GAAP financial measures should be considered together with, and not as alternatives to, financial measures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Projections: Income Statement and Cash Flow Statement</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5"/>
        <w:gridCol w:w="60"/>
        <w:gridCol w:w="60"/>
        <w:gridCol w:w="953"/>
        <w:gridCol w:w="241"/>
        <w:gridCol w:w="60"/>
        <w:gridCol w:w="60"/>
        <w:gridCol w:w="953"/>
        <w:gridCol w:w="241"/>
        <w:gridCol w:w="60"/>
        <w:gridCol w:w="60"/>
        <w:gridCol w:w="953"/>
        <w:gridCol w:w="241"/>
        <w:gridCol w:w="60"/>
        <w:gridCol w:w="60"/>
        <w:gridCol w:w="953"/>
        <w:gridCol w:w="241"/>
        <w:gridCol w:w="60"/>
        <w:gridCol w:w="60"/>
        <w:gridCol w:w="953"/>
        <w:gridCol w:w="241"/>
        <w:gridCol w:w="60"/>
        <w:gridCol w:w="60"/>
        <w:gridCol w:w="953"/>
        <w:gridCol w:w="257"/>
      </w:tblGrid>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257" w:type="dxa"/>
            <w:tcBorders/>
            <w:shd w:fill="FFFFFF" w:val="clear"/>
            <w:vAlign w:val="center"/>
          </w:tcPr>
          <w:p>
            <w:pPr>
              <w:pStyle w:val="TableContents"/>
              <w:bidi w:val="0"/>
              <w:spacing w:before="0" w:after="283"/>
              <w:jc w:val="left"/>
              <w:rPr>
                <w:sz w:val="4"/>
                <w:szCs w:val="4"/>
              </w:rPr>
            </w:pPr>
            <w:r>
              <w:rPr>
                <w:sz w:val="4"/>
                <w:szCs w:val="4"/>
              </w:rPr>
            </w:r>
          </w:p>
        </w:tc>
      </w:tr>
      <w:tr>
        <w:trPr/>
        <w:tc>
          <w:tcPr>
            <w:tcW w:w="230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2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COGS Growth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57</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(52</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Indirect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 Profit/(Loss)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(29</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3"/>
        <w:gridCol w:w="60"/>
        <w:gridCol w:w="60"/>
        <w:gridCol w:w="907"/>
        <w:gridCol w:w="80"/>
        <w:gridCol w:w="60"/>
        <w:gridCol w:w="60"/>
        <w:gridCol w:w="907"/>
        <w:gridCol w:w="80"/>
        <w:gridCol w:w="60"/>
        <w:gridCol w:w="60"/>
        <w:gridCol w:w="907"/>
        <w:gridCol w:w="80"/>
        <w:gridCol w:w="60"/>
        <w:gridCol w:w="60"/>
        <w:gridCol w:w="907"/>
        <w:gridCol w:w="80"/>
        <w:gridCol w:w="60"/>
        <w:gridCol w:w="60"/>
        <w:gridCol w:w="907"/>
        <w:gridCol w:w="80"/>
        <w:gridCol w:w="60"/>
        <w:gridCol w:w="60"/>
        <w:gridCol w:w="907"/>
        <w:gridCol w:w="100"/>
      </w:tblGrid>
      <w:tr>
        <w:trPr/>
        <w:tc>
          <w:tcPr>
            <w:tcW w:w="354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100" w:type="dxa"/>
            <w:tcBorders/>
            <w:shd w:fill="FFFFFF" w:val="clear"/>
            <w:vAlign w:val="center"/>
          </w:tcPr>
          <w:p>
            <w:pPr>
              <w:pStyle w:val="TableContents"/>
              <w:bidi w:val="0"/>
              <w:spacing w:before="0" w:after="283"/>
              <w:jc w:val="left"/>
              <w:rPr>
                <w:sz w:val="4"/>
                <w:szCs w:val="4"/>
              </w:rPr>
            </w:pPr>
            <w:r>
              <w:rPr>
                <w:sz w:val="4"/>
                <w:szCs w:val="4"/>
              </w:rPr>
            </w:r>
          </w:p>
        </w:tc>
      </w:tr>
      <w:tr>
        <w:trPr/>
        <w:tc>
          <w:tcPr>
            <w:tcW w:w="354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1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used for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related to other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used for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 end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Provided by XWEL’s management to Roth, which has been directed by the Board of Directors to use and rely upon such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Projections: Balance Sheet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7"/>
        <w:gridCol w:w="60"/>
        <w:gridCol w:w="60"/>
        <w:gridCol w:w="914"/>
        <w:gridCol w:w="80"/>
        <w:gridCol w:w="60"/>
        <w:gridCol w:w="60"/>
        <w:gridCol w:w="892"/>
        <w:gridCol w:w="80"/>
        <w:gridCol w:w="60"/>
        <w:gridCol w:w="60"/>
        <w:gridCol w:w="892"/>
        <w:gridCol w:w="80"/>
        <w:gridCol w:w="60"/>
        <w:gridCol w:w="60"/>
        <w:gridCol w:w="914"/>
        <w:gridCol w:w="80"/>
        <w:gridCol w:w="60"/>
        <w:gridCol w:w="60"/>
        <w:gridCol w:w="914"/>
        <w:gridCol w:w="80"/>
        <w:gridCol w:w="60"/>
        <w:gridCol w:w="60"/>
        <w:gridCol w:w="914"/>
        <w:gridCol w:w="98"/>
      </w:tblGrid>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 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 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2029E  </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5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&amp;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 Port. of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Convertible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Provided by XWEL’s management to Roth, which has been directed by the Board of Directors to review, consider and use and rely upon such data. 1) Includes restricted cash of $0.3 million and marketable securities of $0.01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required by applicable federal securities laws, we do not intend, and expressly disclaim any responsibility, to update or otherwise revise the Financial Projections to reflect circumstances existing after the date when made or to reflect the occurrence of future events. </w:t>
      </w:r>
      <w:r>
        <w:rPr>
          <w:rFonts w:ascii="Times New Roman;Times;Serif" w:hAnsi="Times New Roman;Times;Serif"/>
          <w:b/>
          <w:i w:val="false"/>
          <w:caps w:val="false"/>
          <w:smallCaps w:val="false"/>
          <w:sz w:val="20"/>
        </w:rPr>
        <w:t>In light of the foregoing factors and the uncertainties inherent in Financial Projections, stockholders are cautioned not to place undue reliance on the foregoing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sa_022"/>
      <w:bookmarkEnd w:id="46"/>
      <w:r>
        <w:rPr>
          <w:rFonts w:ascii="Times New Roman;Times;Serif" w:hAnsi="Times New Roman;Times;Serif"/>
          <w:b/>
          <w:i w:val="false"/>
          <w:caps w:val="false"/>
          <w:smallCaps w:val="false"/>
          <w:sz w:val="20"/>
        </w:rPr>
        <w:t>Net Proceeds from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Buyer will pay XWELL a base purchase price of $13,000,000, subject to customary adjustments for net working capital, closing indebtedness, sale expenses and closing cash. At the closing of the Sale, a portion of the Purchase Price, equal to $2,650,000 in the aggregate, will be deposited into escrow accounts to secure certain of XWELL’s post-closing obligations with respect to any purchase price adjustments or indemnities. Because the final Purchase Price will not be determined until after closing, and because a portion of the Purchase Price will remain subject to escrow for a period of time following the closing, we cannot predict with certainty the amount of net proceeds that we will ultimately realize from the Sale. See the Risk Factor subsection entitled “</w:t>
      </w:r>
      <w:r>
        <w:rPr>
          <w:rFonts w:ascii="Times New Roman;Times;Serif" w:hAnsi="Times New Roman;Times;Serif"/>
          <w:b w:val="false"/>
          <w:i/>
          <w:caps w:val="false"/>
          <w:smallCaps w:val="false"/>
          <w:sz w:val="20"/>
        </w:rPr>
        <w:t>The amount of net proceeds that we will receive from the Sale is subject to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distribute any of the net proceeds of the Sale to our stockholders. Rather, we intend to retain the net proceeds of the Sale as cash on hand, which we intend to use (i) to fund the continued operation of the Retained Ex-Airport Business and (ii) to pursue transformative strategic acquisition or business combination opportunities, potentially in industries unrelated to our historical operations, consistent with the Board’s objectives described under “</w:t>
      </w:r>
      <w:r>
        <w:rPr>
          <w:rFonts w:ascii="Times New Roman;Times;Serif" w:hAnsi="Times New Roman;Times;Serif"/>
          <w:b w:val="false"/>
          <w:i/>
          <w:caps w:val="false"/>
          <w:smallCaps w:val="false"/>
          <w:sz w:val="20"/>
        </w:rPr>
        <w:t>Proposal 1: The Sale Proposal—Reasons for the Sale</w:t>
      </w:r>
      <w:r>
        <w:rPr>
          <w:rFonts w:ascii="Times New Roman;Times;Serif" w:hAnsi="Times New Roman;Times;Serif"/>
          <w:b w:val="false"/>
          <w:i w:val="false"/>
          <w:caps w:val="false"/>
          <w:smallCaps w:val="false"/>
          <w:sz w:val="20"/>
        </w:rPr>
        <w:t>.” See the Questions and Answers subsection entitled “</w:t>
      </w:r>
      <w:r>
        <w:rPr>
          <w:rFonts w:ascii="Times New Roman;Times;Serif" w:hAnsi="Times New Roman;Times;Serif"/>
          <w:b w:val="false"/>
          <w:i/>
          <w:caps w:val="false"/>
          <w:smallCaps w:val="false"/>
          <w:sz w:val="20"/>
        </w:rPr>
        <w:t>What will the net proceeds from the Sale be used for?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nan_008"/>
      <w:bookmarkEnd w:id="47"/>
      <w:r>
        <w:rPr>
          <w:rFonts w:ascii="Times New Roman;Times;Serif" w:hAnsi="Times New Roman;Times;Serif"/>
          <w:b/>
          <w:i w:val="false"/>
          <w:caps w:val="false"/>
          <w:smallCaps w:val="false"/>
          <w:sz w:val="20"/>
        </w:rPr>
        <w:t>Interests of Directors and Executive Officers in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Board that stockholders vote “FOR” the Sale Proposal, stockholders should be aware that certain of the Company’s directors and executive officers have interests in the Sale that are different from, or in addition to, the interests of the Company’s stockholders generally as more fully described below. The Board was aware of and considered these interests, among other matters, in evaluating the Purchase Agreement and the transactions contemplated thereby and in recommending that stockholders vote to approve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XpresTest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5, 2026, XpresTest consummated the XpresTest RSA Repurchases pursuant to which XpresTest repurchased all outstanding XpresTest RSAs for an aggregate cash payment of approximately $2.7 million, or $9,634.09 per share. In connection with the XpresTest RSA Repurchases, any XpresTest RSAs that had not previously vested became fully vested. After giving effect to the XpresTest RSA Repurchases, no XpresTest RSAs remain outstanding, and XWELL now owns all of the issued and outstanding shares of capital stock of XpresTest.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these XpresTest RSAs would have become fully vested and been repurchased by XpresTest for an amount in cash equal to (i) the number of shares of XpresTest common stock underlying such XpresTest RSA multiplied by (ii) a per-share price to be mutually agreed by the Buyer and XWELL based on a valuation of XpresTest. The XpresTest RSA Repurchase Price is the same price the Buyer and XWELL had agreed would apply to the XpresTest RSAs at closing under the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XpresTest RSA Repurchases were completed early with the consent of the Buyer and have the effect of simplifying XpresTest’s capitalization in preparation for the Sale. Under the terms of the Purchase Agreement, all amounts payable in respect of the repurchased XpresTest RSAs would have constituted XWELL sale expenses, which would have reduced dollar-for-dollar the purchase price payable by the Buyer to XWELL. Because these amounts have now already been paid in full, they will not be included in the calculation of XWELL’s unpaid sale expenses under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$9,634.09 per share XpresTest RSA Repurchase Price is based on an aggregate valuation of XpresTest of $10.4 million, which resulted in an aggregate cash payment of approximately $2.7 million to the holders of XpresTest RSAs. The $10.4 million valuation attributed to XpresTest represents 80% of the $13.0 million Base Purchase Price payable by the Buyer under the Purchase Agreement. This allocation was not based on a third-party valuation of XpresTest but, rather, reflects an analysis performed by Company management, taking into account a number of factors, including, without limitation, the historical financial performance of XpresTest and XpresSpa and their future prospects. In particular, Company management considered that XpresSpa has historically operated at a loss, that XpresTest’s business has been profitable, and that the Company expects these performance trends to continue for the foreseeable future. The Company also considered that, in the course of the Company's consideration of possible strategic alternatives, XpresTest generated greater third-party interest than XpresSpa. Due to their relative performance and third-party feedback, the Company believes this allocation represents a reasonable assessment of the relative value of the two businesses.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should be aware that the valuation analysis underlying the XpresTest RSA Repurchase Price was performed by members of Company management and Mr. Bernstein, who held XpresTest RSAs and received a cash payment based on the XpresTest RSA Repurchase Price pursuant to the XpresTest RSA Repurchases. As a result, the individuals who performed this valuation analysis necessarily had a financial interest in its outcome. However, the Company notes that the process was undertaken in consultation with the Buyer in accordance with the Purchase Agreement and the purchase price allocation provisions set forth therein, and the Company believes that the underlying financial analyses described above support the Company's conclusion that the resulting XpresTest RSA Repurchase Price is fair and reasonable.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XpresTest RSA Repurchases, the XpresTest 2020 Plan was terminated, and no further XpresTest RSAs or other equity interests in XpresTest have been or will be granted thereunder.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Bruce Bernstein,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XpresTest RSA Repurchases included 107 XpresTest RSAs held by Mr. Bernstein, for an aggregate purchase price of $1,030,847.61. These XpresTest RSAs were previously granted pursuant to Restricted Stock Award Agreements dated January 21, 2021, February 9, 2026, as amended and restated pursuant to an Amended and Restated Restricted Stock Award Agreement dated April 28, 2026, and February 13, 2026. The repurchase of Mr. Bernstein’s XpresTest RSAs would have otherwise occurred at the closing of the Sale pursuant to the terms of the Purchase Agreement, in the manner described above under “—</w:t>
      </w:r>
      <w:r>
        <w:rPr>
          <w:rFonts w:ascii="Times New Roman;Times;Serif" w:hAnsi="Times New Roman;Times;Serif"/>
          <w:b w:val="false"/>
          <w:i/>
          <w:caps w:val="false"/>
          <w:smallCaps w:val="false"/>
          <w:sz w:val="20"/>
        </w:rPr>
        <w:t>Treatment of XpresTest Equity Awards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should also be aware that, following the closing of the Sale, Mr. Bernstein is expected to continue as a part-time consultant of the Divestiture Group under the Buyer’s ownership.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Ezra Ernst,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XpresTest RSA Repurchases included 55 XpresTest RSAs held by Mr. Ernst, for an aggregate purchase price of $529,874.94. These XpresTest RSAs were previously granted pursuant to Restricted Stock Award Agreements dated June 28, 2022, February 9, 2026, as amended and restated pursuant to an Amended and Restated Restricted Stock Award Agreement dated April 28, 2026, and February 13, 2026. Like Mr. Bernstein’s XpresTest RSAs, the repurchase of Mr. Ernst’s XpresTest RSAs would have otherwise occurred at the closing of the Sale pursuant to the terms of the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Ernst holds 10,000 unvested restricted shares of XWELL common stock (“</w:t>
      </w:r>
      <w:r>
        <w:rPr>
          <w:rFonts w:ascii="Times New Roman;Times;Serif" w:hAnsi="Times New Roman;Times;Serif"/>
          <w:b/>
          <w:i w:val="false"/>
          <w:caps w:val="false"/>
          <w:smallCaps w:val="false"/>
          <w:sz w:val="20"/>
        </w:rPr>
        <w:t>XWELL RSAs</w:t>
      </w:r>
      <w:r>
        <w:rPr>
          <w:rFonts w:ascii="Times New Roman;Times;Serif" w:hAnsi="Times New Roman;Times;Serif"/>
          <w:b w:val="false"/>
          <w:i w:val="false"/>
          <w:caps w:val="false"/>
          <w:smallCaps w:val="false"/>
          <w:sz w:val="20"/>
        </w:rPr>
        <w:t xml:space="preserve">”), which will accelerate and vest in full upon a change in control of XWELL or upon a qualifying termination of Mr. Ernst’s employment without Cause or for Good Reason (each, as defined in Mr. Ernst’s applicable employment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be aware that, following the closing of the Sale, Mr. Ernst is expected to continue as an employee of the Divestiture Group under the Buyer’s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Ian Brown,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XpresTest RSA Repurchases included 10 XpresTest RSAs held by Mr. Brown, five of which vested in connection with the repurchase in accordance with the terms of the XpresTest 2020 Plan, for an aggregate purchase price of $96,340.90. These XpresTest RSAs were previously granted pursuant to a Restricted Stock Award Agreement dated February 13, 2026. Like Mr. Bernstein’s and Mr. Ernst’s XpresTest RSAs, the repurchase of Mr. Brown’s XpresTest RSAs would have otherwise occurred at the closing of the Sale pursuant to the terms of the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should also be aware that, following the closing of the Sale, Mr. Brown is expected to continue as an employee of the Divestiture Group under the Buyer’s ownership.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8" w:name="sa_023"/>
      <w:bookmarkEnd w:id="48"/>
      <w:r>
        <w:rPr>
          <w:rFonts w:ascii="Times New Roman;Times;Serif" w:hAnsi="Times New Roman;Times;Serif"/>
          <w:b w:val="false"/>
          <w:i/>
          <w:caps w:val="false"/>
          <w:smallCaps w:val="false"/>
          <w:sz w:val="20"/>
        </w:rPr>
        <w:t>Golden Parachute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Sale, each of Messrs. Bernstein, Ernst and Brown have received or will receive certain payments and benefits as detailed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Mr. Ernst’s or Mr. Brown’s employment is terminated by us without cause or if due to a resignation for good reason, we are obligated to provide severance benefits to each of Messrs. Ernst and Brown equal to 12 months of their respective current base salary payable in substantially equal installments and 12 months of reimbursement payments for health continuation coverage under the Consolidated Omnibus Budget Reconciliation Act of 1985, as amended (“</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xml:space="preserve">”). We do not expect a payout of any of the foregoing severance amounts in connection with the Sale, as we currently expect that each of the foregoing executive officers will continue as an executive officer of the Company Group. Nevertheless, the severance amounts that Messrs. Ernst and Brown could become entitled to receive in connection with the Sale are also disclosed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information required by Item 402(t) of Regulation S-K regarding the compensation that is based on or otherwise relates to the Sale and that may become payable to our named executive officers, assuming the Sale was completed on October 1, 2026, the latest practicable date before the date of this Proxy Statement. The amounts shown are estimates based on assumptions described in the footnotes to the table and may differ from the amounts actually paid to our named executive officers.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8"/>
        <w:gridCol w:w="117"/>
        <w:gridCol w:w="167"/>
        <w:gridCol w:w="992"/>
        <w:gridCol w:w="285"/>
        <w:gridCol w:w="117"/>
        <w:gridCol w:w="167"/>
        <w:gridCol w:w="1142"/>
        <w:gridCol w:w="285"/>
        <w:gridCol w:w="117"/>
        <w:gridCol w:w="193"/>
        <w:gridCol w:w="1074"/>
        <w:gridCol w:w="117"/>
        <w:gridCol w:w="117"/>
        <w:gridCol w:w="167"/>
        <w:gridCol w:w="887"/>
        <w:gridCol w:w="285"/>
        <w:gridCol w:w="117"/>
        <w:gridCol w:w="243"/>
        <w:gridCol w:w="570"/>
        <w:gridCol w:w="117"/>
        <w:gridCol w:w="117"/>
        <w:gridCol w:w="167"/>
        <w:gridCol w:w="1142"/>
        <w:gridCol w:w="145"/>
      </w:tblGrid>
      <w:tr>
        <w:trPr/>
        <w:tc>
          <w:tcPr>
            <w:tcW w:w="13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 </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 </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Pension/NQDC</w:t>
              <w:b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Perquisites /</w:t>
              <w:br/>
              <w:t xml:space="preserve">Benefits ($) </w:t>
            </w:r>
          </w:p>
        </w:tc>
        <w:tc>
          <w:tcPr>
            <w:tcW w:w="2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 </w:t>
            </w:r>
          </w:p>
        </w:tc>
        <w:tc>
          <w:tcPr>
            <w:tcW w:w="14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Bruce Bernstein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1,030,847.61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2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1,030,847.61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Ezra Ernst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425,000.00 </w:t>
            </w:r>
          </w:p>
        </w:tc>
        <w:tc>
          <w:tcPr>
            <w:tcW w:w="2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538,074.94 </w:t>
            </w:r>
          </w:p>
        </w:tc>
        <w:tc>
          <w:tcPr>
            <w:tcW w:w="2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34,699.08 </w:t>
            </w:r>
          </w:p>
        </w:tc>
        <w:tc>
          <w:tcPr>
            <w:tcW w:w="2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2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998,574.02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Ian Brown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375,000.00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96,340.90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31,260.36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2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502,601.26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Represents the amount received by such holder in exchange for his XpresTest RSAs pursuant to the XpresTest RSA Repurchases. In connection with the XpresTest RSA Repurchase with respect to Mr. Brown, any such XpresTest RSAs that had not previously vested became fully vested. The repurchase of such holder’s XpresTest RSAs, which would have otherwise occurred at the closing of the Sale pursuant to the terms of the Purchase Agreement, was completed early with the consent of the Buyer.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Represents severance and benefit payments in the event Messrs. Ernst and Brown are terminated without cause. For purposes of the benefits estimate, the amount represents the approximate aggregate dollar value of 12 months of COBRA severance reimbursements based on the current employee and employer average monthly insurance cost. As the intention is for Messrs. Ernst and Brown to continue their employment with the Company Group following the closing of the Sale, it is not expected that their transition from XWELL to the Company Group will give rise to any severance obligations at XWELL.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Represents (x) $529,874.94 (the amount received by Mr. Ernst in exchange for his XpresTest RSAs pursuant to the XpresTest RSA Repurchases), plus (y) $8,200 (the estimated value of the 10,000 unvested XWELL RSAs held by Mr. Ernst that will accelerate and vest in full upon the closing of the Sale, calculated using XWELL’s closing stock price of $0.82 per share as of October 1, 2026). The repurchase of Mr. Ernst’s XpresTest RSAs, which would have otherwise occurred at the closing of the Sale pursuant to the terms of the Purchase Agreement, was completed early with the consent of the Buyer.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considered whether any director should recuse himself from the Board’s deliberations or vote in light of the foregoing interests and, given the nature of such interests, determined that recusal was not necessary. In reaching this determination, the Board considered, among other things, (i) that a majority of the Board had no financial interest in the Sale different from that of stockholders generally, (ii) that the interests held by Mr. Bernstein and Mr. Ernst arose from pre-existing incentive arrangements that predated, and were not created in contemplation of, the Purchase Agreement, (iii) that the treatment of the XpresTest RSAs applies uniformly to all holders of such awards, (iv) that Haynes Boone had reviewed with the Board its fiduciary duties in connection with the Sale, including the implications of the interested-director provisions of Section 144 of the DGCL, and (v) that each member of the Board had an adequate opportunity to ask questions regarding the interests of all interested parties and to review the terms of the Purchase Agreement and the other transaction documents with management and legal counsel. After consulting with Company counsel and considering the foregoing, the Board determined that recusal of Mr. Bernstein or Mr. Ernst was not necessary, and that the disinterested members of the Board were able to fully and fairly evaluate the Purchase Agreement and the Sale notwithstanding their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CDC Contract and Related Commission Arrangements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XpresTest previously entered into commission arrangements with Bruce Bernstein, Chairman of the Board, Ezra Ernst, Chief Executive Officer, Ian Brown, Chief Financial Officer, and Patti Ward, in connection with XpresTest’s pursuit of a government contract opportunity with the CDC for infectious disease testing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2026, XpresTest entered into a contract with the CDC for such services with an initial term value of up to $18.1 million, subject to a government option to extend the contract for an additional six-month period. Under the terms of the commission arrangements, after the consummation of the Sale, Mr. Bernstein, Mr. Ernst, Mr. Brown and Ms. Ward will be entitled to receive commissions based on the profits, if any, generated by XpresTest under the CDC contract. Each of Mr. Bernstein, Mr. Ernst, Mr. Brown and Ms. Ward has waived his or her right to receive any commissions for any period during which XpresTest remains under the Company’s ownership prior to the closing of the Sale.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CDC contract has not been terminated or fully performed prior to the closing of the Sale, the CDC contract and the related commission arrangements will transfer to the Buyer as part of the Divestiture Group and will not remain with, or be an obligation of, the Company. As described elsewhere in this Proxy Statement, following the closing of the Sale, Mr. Bernstein is expected to provide consulting services to the Divestiture Group, and Messrs. Ernst and Brown and Ms. Ward are expected to continue as employees of the Divestiture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CDC contract is terminable by the government at any time, and amounts payable under the contract depend on services actually performed. Accordingly, there can be no assurance that the contract will generate any particular level of revenue. Because the initial term of the contract extends through early January 2027 and the Sale is expected to close in the fourth quarter of 2026, the Company expects that a substantial portion of any revenue under the initial term of the contract will be earned by XpresTest while it remains under the Company’s ownership prior to the closing of the 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sa_024"/>
      <w:bookmarkEnd w:id="49"/>
      <w:r>
        <w:rPr>
          <w:rFonts w:ascii="Times New Roman;Times;Serif" w:hAnsi="Times New Roman;Times;Serif"/>
          <w:b/>
          <w:i w:val="false"/>
          <w:caps w:val="false"/>
          <w:smallCaps w:val="false"/>
          <w:sz w:val="20"/>
        </w:rPr>
        <w:t>Tail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XWELL is required to, at or prior to the Closing, obtain and deliver (or cause to be obtained and delivered) “tail” or “run off” insurance policy for the six (6)-year period following the Closing, covering directors’ and officers’ liability, employment practices liability and fiduciary liability with respect to all current and former directors, officers, managers and employees of the Divestiture Group, in each case with respect to matters existing or occurring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nan_009"/>
      <w:bookmarkEnd w:id="50"/>
      <w:r>
        <w:rPr>
          <w:rFonts w:ascii="Times New Roman;Times;Serif" w:hAnsi="Times New Roman;Times;Serif"/>
          <w:b/>
          <w:i w:val="false"/>
          <w:caps w:val="false"/>
          <w:smallCaps w:val="false"/>
          <w:sz w:val="20"/>
        </w:rPr>
        <w:t>Accounting Treatment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Sale, the Company will deconsolidate the Divestiture Group entities sold pursuant to the Sale (namely, XpresSpa and XpresTest) and will derecognize the assets and liabilities of the Divestiture Group from its consolidated balance sheet. The Company’s financial statements will also reflect, to the extent applicable, the effect of the receipt and the use of the proceeds of the Sale. The Company will record a gain or loss on its consolidated statement of operations in connection with the Sale equal to the difference between (i) the fair value of the consideration received for the Purchased Equity, less transaction costs and Sale Expenses, and (ii) the carrying value of the net assets of XpresSpa Holdings, LLC and XpresTest, Inc.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nan_010"/>
      <w:bookmarkEnd w:id="51"/>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Sale nor the other transactions contemplated by the Purchase Agreement is subject to any material U.S. federal or state antitrust or other regulatory approval, including any filing requirement under the Hart-Scott-Rodino Antitrust Improvements Act of 1976, as amended, or review by the Committee on Foreign Investment in the United States. Completion of the Sale is, however, subject to the receipt of certain customary third-party consents, including consents from certain of XWELL’s and the Divestiture Group’s landlords, licensors, and other counterparties under contracts and leases containing change of control or assignment provisions, including the Required Lease Consents applicable to the real property leases and concession agreements underlying the XpresSpa Airport Business locations. See “</w:t>
      </w:r>
      <w:r>
        <w:rPr>
          <w:rFonts w:ascii="Times New Roman;Times;Serif" w:hAnsi="Times New Roman;Times;Serif"/>
          <w:b w:val="false"/>
          <w:i/>
          <w:caps w:val="false"/>
          <w:smallCaps w:val="false"/>
          <w:sz w:val="20"/>
        </w:rPr>
        <w:t>Description of the Purchase Agreement—Conditions to Closing</w:t>
      </w:r>
      <w:r>
        <w:rPr>
          <w:rFonts w:ascii="Times New Roman;Times;Serif" w:hAnsi="Times New Roman;Times;Serif"/>
          <w:b w:val="false"/>
          <w:i w:val="false"/>
          <w:caps w:val="false"/>
          <w:smallCaps w:val="false"/>
          <w:sz w:val="20"/>
        </w:rPr>
        <w:t>.” While we do not believe that the receipt of these consents will materially delay or impede completion of the Sale, there can be no assurance that all such consents will be obtained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sa_025"/>
      <w:bookmarkEnd w:id="52"/>
      <w:r>
        <w:rPr>
          <w:rFonts w:ascii="Times New Roman;Times;Serif" w:hAnsi="Times New Roman;Times;Serif"/>
          <w:b/>
          <w:i w:val="false"/>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Relating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XWELL is not aware of any lawsuit that has been filed against XWELL, the Board, or any of XWELL’s executive officers relating to the Purchase Agreement or the transactions contemplated thereby, including the Sale. XWELL cannot predict whether any such lawsuits will be filed, or, if filed, what the outcome of any such lawsuits will be. If additional lawsuits are filed challenging the Sale, XWELL will disclose such lawsuits in a subsequent filing with the SEC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nan_011"/>
      <w:bookmarkEnd w:id="53"/>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for approval of the Sale pursuant to the Purchase Agreement requires the affirmative vote of the holders of a majority of the outstanding shares of our Common Stock entitled to vote thereon. Abstentions will have the same effect as votes “AGAINST” the Sale Proposal. Since no routine matters are presented at the Special Meeting, no broker non-votes are expected. If you hold your shares in street name, the failure to instruct your broker, bank or other nominee how to vote your shares will have the same effect as a vote “AGAINST”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nan_012"/>
      <w:bookmarkEnd w:id="54"/>
      <w:r>
        <w:rPr>
          <w:rFonts w:ascii="Times New Roman;Times;Serif" w:hAnsi="Times New Roman;Times;Serif"/>
          <w:b/>
          <w:i w:val="false"/>
          <w:caps w:val="false"/>
          <w:smallCaps w:val="false"/>
          <w:sz w:val="20"/>
        </w:rPr>
        <w:t>Stockholder Approval; Termination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by our stockholders is a condition to the closing of the Sale. If our stockholders do not approve the Sale Proposal at the Special Meeting (including at any adjournment or postponement thereof), the Sale will not be completed, and, under certain circumstances described below, the Purchase Agreement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XWELL or the Buyer may terminate the Purchase Agreement under certain other specified circumstances, including, among others, if (i) the Sale has not been consummated by the 180th day following the date of the Purchase Agreement, or (ii) a governmental order makes the transactions illegal. The Buyer may also terminate the Purchase Agreement if there has been an uncured breach by XWELL or the Divestiture Companies, or upon the occurrence of certain events relating to the Board’s recommendation. XWELL may also terminate the Purchase Agreement if there has been an uncured breach by the Buyer, to accept a Superior Proposal (subject to payment of the Buyer Termination Fee, (as defined below)), or if all conditions to Closing have been satisfied and the Buyer fails to close within five business days after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may, under certain circumstances, be required to pay Buyer the Buyer Termination Fee. The Buyer Termination Fee will become payable if the Purchase Agreement is terminated (i) by the Buyer because the Board has changed its recommendation that XWELL’s stockholders vote to adopt and approve the Purchase Agreement, (ii) by XWELL in order to enter into a definitive agreement with respect to an alternative transaction, (iii) by either party upon the failure to obtain the Company stockholder approval, (iv) by the Buyer as a result of an uncured breach by XWELL or the Divestiture Companies, (v) by either party upon the expiration of the Termination Date at a time when the Buyer would otherwise be entitled to terminate as a result of one of the foregoing events, or (vi) by either party upon the expiration of the Termination Date if, following the date of the Purchase Agreement and prior to such termination, an alternative transaction proposal was made to or publicly announced with respect to XWELL and, within twelve (12) months after such termination, XWELL consummates an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under certain circumstances, be required to pay XWELL the Seller Termination Fee. The Seller Termination Fee will become payable if the Purchase Agreement is terminated (i) by XWELL as a result of an uncured breach by the Buyer of any of its representations, warranties, covenants or agreements under the Purchase Agreement, or (ii) by XWELL if all conditions to the closing have been satisfied (or are capable of being satisfied), XWELL has confirmed in writing that it is ready, willing and able to close, and the Buyer fails to consummate the closing within five (5) business days following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5" w:name="sa_026"/>
      <w:bookmarkEnd w:id="55"/>
      <w:r>
        <w:rPr>
          <w:rFonts w:ascii="Times New Roman;Times;Serif" w:hAnsi="Times New Roman;Times;Serif"/>
          <w:b/>
          <w:i w:val="false"/>
          <w:caps w:val="false"/>
          <w:smallCaps w:val="false"/>
          <w:sz w:val="20"/>
        </w:rPr>
        <w:t>UNAUDITED PRO FORMA CONDENSED CONSOLIDATED FINANCIAL INFORMATION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unaudited pro forma condensed consolidated financial information is based upon the historical consolidated financial statements of the Company adjusted to give effect to the Sale described elsewhere in this proxy statement.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condensed consolidated financial information has been derived from the Company’s unaudited condensed consolidated financial statements as of and for the six months ended June 30, 2026, and the audited consolidated financial statements for the fiscal years ended December 31, 2025, and 2024. The unaudited pro forma condensed consolidated balance sheet as of June 30, 2026, gives effect to the Sale as if it had occurred on June 30, 2026. The unaudited pro forma condensed consolidated statements of operations for the six months ended June 30, 2026, and for the fiscal years ended December 31, 2025, and 2024, give effect to the Sale as if it had occurred on January 1, 2024, the earliest period presented.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 forma adjustments related to the Sale are preliminary and based on currently available information and certain assumptions, as described in the accompanying notes to the unaudited pro forma condensed consolidated financial information, which the Company believes are reasonable under the circumstances. Actual results may differ materially from the assumptions within the unaudited pro forma condensed consolidated financial information.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condensed consolidated financial information has been prepared in accordance with the regulations of the SEC, specifically Article 11 of Regulation S-X, as amended, and is not necessarily indicative of the financial position or results of operations to be expected in future periods or the results that actually would have been realized had the Company closed the transactions during the specified periods. The unaudited pro forma condensed consolidated financial information has been prepared solely for the purpose of providing stockholders with information that may be useful for purposes of considering and evaluating the interdependent proposals to approve the Sale. The unaudited pro forma condensed consolidated financial information does not give effect to the potential impact of current financial conditions, regulatory matters, operating efficiencies, or other strategic transactions that may be associated with the Sale.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cautions stockholders that its future results of operations, including uses of cash and financial position, will significantly differ from those described in this unaudited pro forma condensed consolidated financial information. Following the Sale, the Company’s remaining core business would not be material, as XWELL would retain only its smaller legacy brands, while pivoting its strategic direction to pursue opportunities in entirely different industries and enter businesses with potentially superior market opportunities.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condensed consolidated financial information should be read in conjunction with the Company’s historical consolidated financial statements and accompanying notes included in the Company’s Quarterly Report on Form 10-Q for the six months ended June 30, 2026, and its Annual Report on Form 10-K for the fiscal year ended December 31, 2025, as amended, which are included in this proxy statement.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XWELL, Inc.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CONSOLIDATED BALANCE SHEET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data) </w:t>
      </w:r>
    </w:p>
    <w:p>
      <w:pPr>
        <w:pStyle w:val="TextBody"/>
        <w:bidi w:val="0"/>
        <w:spacing w:before="0" w:after="283"/>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057"/>
        <w:gridCol w:w="75"/>
        <w:gridCol w:w="136"/>
        <w:gridCol w:w="766"/>
        <w:gridCol w:w="91"/>
        <w:gridCol w:w="75"/>
        <w:gridCol w:w="171"/>
        <w:gridCol w:w="894"/>
        <w:gridCol w:w="91"/>
        <w:gridCol w:w="230"/>
        <w:gridCol w:w="75"/>
        <w:gridCol w:w="138"/>
        <w:gridCol w:w="774"/>
        <w:gridCol w:w="91"/>
        <w:gridCol w:w="75"/>
        <w:gridCol w:w="748"/>
        <w:gridCol w:w="480"/>
        <w:gridCol w:w="75"/>
        <w:gridCol w:w="75"/>
        <w:gridCol w:w="171"/>
        <w:gridCol w:w="804"/>
        <w:gridCol w:w="113"/>
      </w:tblGrid>
      <w:tr>
        <w:trPr/>
        <w:tc>
          <w:tcPr>
            <w:tcW w:w="4057" w:type="dxa"/>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xml:space="preserve">  </w:t>
            </w:r>
          </w:p>
        </w:tc>
        <w:tc>
          <w:tcPr>
            <w:tcW w:w="9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Historical </w:t>
            </w:r>
          </w:p>
        </w:tc>
        <w:tc>
          <w:tcPr>
            <w:tcW w:w="91" w:type="dxa"/>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xml:space="preserve">  </w:t>
            </w:r>
          </w:p>
        </w:tc>
        <w:tc>
          <w:tcPr>
            <w:tcW w:w="10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Transaction</w:t>
              <w:br/>
              <w:t xml:space="preserve">Adjustments </w:t>
            </w:r>
          </w:p>
        </w:tc>
        <w:tc>
          <w:tcPr>
            <w:tcW w:w="91"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center"/>
              <w:rPr>
                <w:b/>
                <w:sz w:val="20"/>
              </w:rPr>
            </w:pPr>
            <w:r>
              <w:rPr>
                <w:b/>
                <w:sz w:val="20"/>
              </w:rPr>
              <w:t xml:space="preserve">{a} </w:t>
            </w:r>
          </w:p>
        </w:tc>
        <w:tc>
          <w:tcPr>
            <w:tcW w:w="75" w:type="dxa"/>
            <w:tcBorders/>
            <w:vAlign w:val="center"/>
          </w:tcPr>
          <w:p>
            <w:pPr>
              <w:pStyle w:val="TableContents"/>
              <w:bidi w:val="0"/>
              <w:spacing w:before="0" w:after="283"/>
              <w:jc w:val="left"/>
              <w:rPr/>
            </w:pPr>
            <w:r>
              <w:rPr/>
              <w:t xml:space="preserve">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Pro Forma </w:t>
            </w:r>
          </w:p>
        </w:tc>
        <w:tc>
          <w:tcPr>
            <w:tcW w:w="91" w:type="dxa"/>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xml:space="preserve">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Autonomous Entity</w:t>
              <w:br/>
              <w:t xml:space="preserve">Adjustments </w:t>
            </w:r>
          </w:p>
        </w:tc>
        <w:tc>
          <w:tcPr>
            <w:tcW w:w="75" w:type="dxa"/>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xml:space="preserve">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br/>
              <w:t xml:space="preserve">Standalone </w:t>
            </w:r>
          </w:p>
        </w:tc>
        <w:tc>
          <w:tcPr>
            <w:tcW w:w="113" w:type="dxa"/>
            <w:tcBorders/>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Assets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b/>
                <w:sz w:val="20"/>
              </w:rPr>
            </w:pPr>
            <w:r>
              <w:rPr>
                <w:b/>
                <w:sz w:val="20"/>
              </w:rPr>
              <w:t xml:space="preserve">Current assets: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Cash and cash equivalents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sz w:val="20"/>
              </w:rPr>
            </w:pPr>
            <w:r>
              <w:rPr>
                <w:sz w:val="20"/>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11,778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sz w:val="20"/>
              </w:rPr>
            </w:pPr>
            <w:r>
              <w:rPr>
                <w:sz w:val="20"/>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7,100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center"/>
              <w:rPr>
                <w:b/>
                <w:sz w:val="20"/>
              </w:rPr>
            </w:pPr>
            <w:r>
              <w:rPr>
                <w:b/>
                <w:sz w:val="20"/>
              </w:rPr>
              <w:t xml:space="preserve">{b}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sz w:val="20"/>
              </w:rPr>
            </w:pPr>
            <w:r>
              <w:rPr>
                <w:sz w:val="20"/>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18,878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sz w:val="20"/>
              </w:rPr>
            </w:pPr>
            <w:r>
              <w:rPr>
                <w:sz w:val="20"/>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sz w:val="20"/>
              </w:rPr>
            </w:pPr>
            <w:r>
              <w:rPr>
                <w:sz w:val="20"/>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18,878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Accounts receivable, net of allowance for credit losses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sz w:val="20"/>
              </w:rPr>
            </w:pPr>
            <w:r>
              <w:rPr>
                <w:sz w:val="20"/>
              </w:rPr>
              <w:t xml:space="preserve">1,824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sz w:val="20"/>
              </w:rPr>
            </w:pPr>
            <w:r>
              <w:rPr>
                <w:sz w:val="20"/>
              </w:rPr>
              <w:t xml:space="preserve">(1,799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sz w:val="20"/>
              </w:rPr>
            </w:pPr>
            <w:r>
              <w:rPr>
                <w:sz w:val="20"/>
              </w:rPr>
              <w:t xml:space="preserve">25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sz w:val="20"/>
              </w:rPr>
            </w:pPr>
            <w:r>
              <w:rPr>
                <w:sz w:val="20"/>
              </w:rPr>
              <w:t xml:space="preserve">25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Inventory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391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(313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78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78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Other current assets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1,146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(668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478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478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Total current assets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15,139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4,320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19,459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19,459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Restricted cash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568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2,398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center"/>
              <w:rPr>
                <w:b/>
                <w:sz w:val="20"/>
              </w:rPr>
            </w:pPr>
            <w:r>
              <w:rPr>
                <w:b/>
                <w:sz w:val="20"/>
              </w:rPr>
              <w:t xml:space="preserve">{c}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2,966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2,966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Property and equipment, net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sz w:val="20"/>
              </w:rPr>
            </w:pPr>
            <w:r>
              <w:rPr>
                <w:sz w:val="20"/>
              </w:rPr>
              <w:t xml:space="preserve">1,606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sz w:val="20"/>
              </w:rPr>
            </w:pPr>
            <w:r>
              <w:rPr>
                <w:sz w:val="20"/>
              </w:rPr>
              <w:t xml:space="preserve">(710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sz w:val="20"/>
              </w:rPr>
            </w:pPr>
            <w:r>
              <w:rPr>
                <w:sz w:val="20"/>
              </w:rPr>
              <w:t xml:space="preserve">896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sz w:val="20"/>
              </w:rPr>
            </w:pPr>
            <w:r>
              <w:rPr>
                <w:sz w:val="20"/>
              </w:rPr>
              <w:t xml:space="preserve">896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Intangible assets, net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20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(20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Operating lease right of use assets, net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sz w:val="20"/>
              </w:rPr>
            </w:pPr>
            <w:r>
              <w:rPr>
                <w:sz w:val="20"/>
              </w:rPr>
              <w:t xml:space="preserve">836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sz w:val="20"/>
              </w:rPr>
            </w:pPr>
            <w:r>
              <w:rPr>
                <w:sz w:val="20"/>
              </w:rPr>
              <w:t xml:space="preserve">(542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sz w:val="20"/>
              </w:rPr>
            </w:pPr>
            <w:r>
              <w:rPr>
                <w:sz w:val="20"/>
              </w:rPr>
              <w:t xml:space="preserve">294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sz w:val="20"/>
              </w:rPr>
            </w:pPr>
            <w:r>
              <w:rPr>
                <w:sz w:val="20"/>
              </w:rPr>
              <w:t xml:space="preserve">294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Security deposits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2,067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(2,010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57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57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Other assets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290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(13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277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277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Total assets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20,526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3,422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77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23,948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23,948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Liabilities and Stockholders' Equity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b/>
                <w:sz w:val="20"/>
              </w:rPr>
            </w:pPr>
            <w:r>
              <w:rPr>
                <w:b/>
                <w:sz w:val="20"/>
              </w:rPr>
              <w:t xml:space="preserve">Current liabilities: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Accounts payable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sz w:val="20"/>
              </w:rPr>
            </w:pPr>
            <w:r>
              <w:rPr>
                <w:sz w:val="20"/>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1,618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sz w:val="20"/>
              </w:rPr>
            </w:pPr>
            <w:r>
              <w:rPr>
                <w:sz w:val="20"/>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(615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sz w:val="20"/>
              </w:rPr>
            </w:pPr>
            <w:r>
              <w:rPr>
                <w:sz w:val="20"/>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1,003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sz w:val="20"/>
              </w:rPr>
            </w:pPr>
            <w:r>
              <w:rPr>
                <w:sz w:val="20"/>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sz w:val="20"/>
              </w:rPr>
            </w:pPr>
            <w:r>
              <w:rPr>
                <w:sz w:val="20"/>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1,003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sz w:val="20"/>
              </w:rPr>
            </w:pPr>
            <w:r>
              <w:rPr>
                <w:sz w:val="20"/>
              </w:rPr>
              <w:t xml:space="preserve">2,657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sz w:val="20"/>
              </w:rPr>
            </w:pPr>
            <w:r>
              <w:rPr>
                <w:sz w:val="20"/>
              </w:rPr>
              <w:t xml:space="preserve">509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center"/>
              <w:rPr>
                <w:b/>
                <w:sz w:val="20"/>
              </w:rPr>
            </w:pPr>
            <w:r>
              <w:rPr>
                <w:b/>
                <w:sz w:val="20"/>
              </w:rPr>
              <w:t xml:space="preserve">{d}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sz w:val="20"/>
              </w:rPr>
            </w:pPr>
            <w:r>
              <w:rPr>
                <w:sz w:val="20"/>
              </w:rPr>
              <w:t xml:space="preserve">3,166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sz w:val="20"/>
              </w:rPr>
            </w:pPr>
            <w:r>
              <w:rPr>
                <w:sz w:val="20"/>
              </w:rPr>
              <w:t xml:space="preserve">3,166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Current portion of operating lease liabilities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1,685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(1,248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437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437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Deferred revenue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708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0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708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708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Total current liabilities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6,668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(1,354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5,314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5,314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Long-term liabilities: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Operating lease liabilities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5,606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(4,368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1,238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1,238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Total liabilities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12,274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(5,722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6,552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6,552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b/>
                <w:sz w:val="20"/>
              </w:rPr>
            </w:pPr>
            <w:r>
              <w:rPr>
                <w:b/>
                <w:sz w:val="20"/>
              </w:rPr>
              <w:t xml:space="preserve">Equity (Deficit)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Common Stock, $0.01 par value per share, 150,000,000 shares authorized; 8,471,766 and 6,071,324 shares issued and outstanding as of June 30, 2026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84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84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84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Additional paid-in capital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shd w:fill="FFFFFF" w:val="clear"/>
            <w:vAlign w:val="center"/>
          </w:tcPr>
          <w:p>
            <w:pPr>
              <w:pStyle w:val="TableContents"/>
              <w:bidi w:val="0"/>
              <w:spacing w:before="0" w:after="283"/>
              <w:jc w:val="left"/>
              <w:rPr/>
            </w:pPr>
            <w:r>
              <w:rPr/>
              <w:t xml:space="preserve">  </w:t>
            </w:r>
          </w:p>
        </w:tc>
        <w:tc>
          <w:tcPr>
            <w:tcW w:w="766" w:type="dxa"/>
            <w:tcBorders/>
            <w:shd w:fill="FFFFFF" w:val="clear"/>
            <w:vAlign w:val="center"/>
          </w:tcPr>
          <w:p>
            <w:pPr>
              <w:pStyle w:val="TableContents"/>
              <w:bidi w:val="0"/>
              <w:spacing w:before="0" w:after="283"/>
              <w:jc w:val="right"/>
              <w:rPr>
                <w:sz w:val="20"/>
              </w:rPr>
            </w:pPr>
            <w:r>
              <w:rPr>
                <w:sz w:val="20"/>
              </w:rPr>
              <w:t xml:space="preserve">502,962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94" w:type="dxa"/>
            <w:tcBorders/>
            <w:shd w:fill="FFFFFF" w:val="clear"/>
            <w:vAlign w:val="center"/>
          </w:tcPr>
          <w:p>
            <w:pPr>
              <w:pStyle w:val="TableContents"/>
              <w:bidi w:val="0"/>
              <w:spacing w:before="0" w:after="283"/>
              <w:jc w:val="righ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774" w:type="dxa"/>
            <w:tcBorders/>
            <w:shd w:fill="FFFFFF" w:val="clear"/>
            <w:vAlign w:val="center"/>
          </w:tcPr>
          <w:p>
            <w:pPr>
              <w:pStyle w:val="TableContents"/>
              <w:bidi w:val="0"/>
              <w:spacing w:before="0" w:after="283"/>
              <w:jc w:val="right"/>
              <w:rPr>
                <w:sz w:val="20"/>
              </w:rPr>
            </w:pPr>
            <w:r>
              <w:rPr>
                <w:sz w:val="20"/>
              </w:rPr>
              <w:t xml:space="preserve">502,962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shd w:fill="FFFFFF" w:val="clear"/>
            <w:vAlign w:val="center"/>
          </w:tcPr>
          <w:p>
            <w:pPr>
              <w:pStyle w:val="TableContents"/>
              <w:bidi w:val="0"/>
              <w:spacing w:before="0" w:after="283"/>
              <w:jc w:val="left"/>
              <w:rPr/>
            </w:pPr>
            <w:r>
              <w:rPr/>
              <w:t xml:space="preserve">  </w:t>
            </w:r>
          </w:p>
        </w:tc>
        <w:tc>
          <w:tcPr>
            <w:tcW w:w="480" w:type="dxa"/>
            <w:tcBorders/>
            <w:shd w:fill="FFFFFF" w:val="cle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shd w:fill="FFFFFF" w:val="clear"/>
            <w:vAlign w:val="center"/>
          </w:tcPr>
          <w:p>
            <w:pPr>
              <w:pStyle w:val="TableContents"/>
              <w:bidi w:val="0"/>
              <w:spacing w:before="0" w:after="283"/>
              <w:jc w:val="left"/>
              <w:rPr/>
            </w:pPr>
            <w:r>
              <w:rPr/>
              <w:t xml:space="preserve">  </w:t>
            </w:r>
          </w:p>
        </w:tc>
        <w:tc>
          <w:tcPr>
            <w:tcW w:w="804" w:type="dxa"/>
            <w:tcBorders/>
            <w:shd w:fill="FFFFFF" w:val="clear"/>
            <w:vAlign w:val="center"/>
          </w:tcPr>
          <w:p>
            <w:pPr>
              <w:pStyle w:val="TableContents"/>
              <w:bidi w:val="0"/>
              <w:spacing w:before="0" w:after="283"/>
              <w:jc w:val="right"/>
              <w:rPr>
                <w:sz w:val="20"/>
              </w:rPr>
            </w:pPr>
            <w:r>
              <w:rPr>
                <w:sz w:val="20"/>
              </w:rPr>
              <w:t xml:space="preserve">502,962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Accumulated deficit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(503,139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17,468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center"/>
              <w:rPr>
                <w:b/>
                <w:sz w:val="20"/>
              </w:rPr>
            </w:pPr>
            <w:r>
              <w:rPr>
                <w:b/>
                <w:sz w:val="20"/>
              </w:rPr>
              <w:t xml:space="preserve">{e}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(485,671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(485,671 </w:t>
            </w:r>
          </w:p>
        </w:tc>
        <w:tc>
          <w:tcPr>
            <w:tcW w:w="113" w:type="dxa"/>
            <w:tcBorders/>
            <w:shd w:fill="CCEEFF" w:val="clear"/>
            <w:vAlign w:val="center"/>
          </w:tcPr>
          <w:p>
            <w:pPr>
              <w:pStyle w:val="TableContents"/>
              <w:bidi w:val="0"/>
              <w:spacing w:before="0" w:after="283"/>
              <w:jc w:val="left"/>
              <w:rPr>
                <w:sz w:val="20"/>
              </w:rPr>
            </w:pPr>
            <w:r>
              <w:rPr>
                <w:sz w:val="20"/>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Accumulated other comprehensive loss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(1,761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1,782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b/>
                <w:sz w:val="20"/>
              </w:rPr>
            </w:pPr>
            <w:r>
              <w:rPr>
                <w:b/>
                <w:sz w:val="20"/>
              </w:rPr>
              <w:t xml:space="preserve">Total deficit attributable to XWELL, Inc.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shd w:fill="CCEEFF" w:val="clear"/>
            <w:vAlign w:val="center"/>
          </w:tcPr>
          <w:p>
            <w:pPr>
              <w:pStyle w:val="TableContents"/>
              <w:bidi w:val="0"/>
              <w:spacing w:before="0" w:after="283"/>
              <w:jc w:val="left"/>
              <w:rPr/>
            </w:pPr>
            <w:r>
              <w:rPr/>
              <w:t xml:space="preserve">  </w:t>
            </w:r>
          </w:p>
        </w:tc>
        <w:tc>
          <w:tcPr>
            <w:tcW w:w="766" w:type="dxa"/>
            <w:tcBorders/>
            <w:shd w:fill="CCEEFF" w:val="clear"/>
            <w:vAlign w:val="center"/>
          </w:tcPr>
          <w:p>
            <w:pPr>
              <w:pStyle w:val="TableContents"/>
              <w:bidi w:val="0"/>
              <w:spacing w:before="0" w:after="283"/>
              <w:jc w:val="right"/>
              <w:rPr>
                <w:sz w:val="20"/>
              </w:rPr>
            </w:pPr>
            <w:r>
              <w:rPr>
                <w:sz w:val="20"/>
              </w:rPr>
              <w:t xml:space="preserve">(1,854 </w:t>
            </w:r>
          </w:p>
        </w:tc>
        <w:tc>
          <w:tcPr>
            <w:tcW w:w="91" w:type="dxa"/>
            <w:tcBorders/>
            <w:shd w:fill="CCEEFF" w:val="clear"/>
            <w:vAlign w:val="center"/>
          </w:tcPr>
          <w:p>
            <w:pPr>
              <w:pStyle w:val="TableContents"/>
              <w:bidi w:val="0"/>
              <w:spacing w:before="0" w:after="283"/>
              <w:jc w:val="lef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94" w:type="dxa"/>
            <w:tcBorders/>
            <w:shd w:fill="CCEEFF" w:val="clear"/>
            <w:vAlign w:val="center"/>
          </w:tcPr>
          <w:p>
            <w:pPr>
              <w:pStyle w:val="TableContents"/>
              <w:bidi w:val="0"/>
              <w:spacing w:before="0" w:after="283"/>
              <w:jc w:val="right"/>
              <w:rPr>
                <w:sz w:val="20"/>
              </w:rPr>
            </w:pPr>
            <w:r>
              <w:rPr>
                <w:sz w:val="20"/>
              </w:rPr>
              <w:t xml:space="preserve">19,251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774" w:type="dxa"/>
            <w:tcBorders/>
            <w:shd w:fill="CCEEFF" w:val="clear"/>
            <w:vAlign w:val="center"/>
          </w:tcPr>
          <w:p>
            <w:pPr>
              <w:pStyle w:val="TableContents"/>
              <w:bidi w:val="0"/>
              <w:spacing w:before="0" w:after="283"/>
              <w:jc w:val="right"/>
              <w:rPr>
                <w:sz w:val="20"/>
              </w:rPr>
            </w:pPr>
            <w:r>
              <w:rPr>
                <w:sz w:val="20"/>
              </w:rPr>
              <w:t xml:space="preserve">17,397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shd w:fill="CCEEFF" w:val="clear"/>
            <w:vAlign w:val="center"/>
          </w:tcPr>
          <w:p>
            <w:pPr>
              <w:pStyle w:val="TableContents"/>
              <w:bidi w:val="0"/>
              <w:spacing w:before="0" w:after="283"/>
              <w:jc w:val="left"/>
              <w:rPr/>
            </w:pPr>
            <w:r>
              <w:rPr/>
              <w:t xml:space="preserve">  </w:t>
            </w:r>
          </w:p>
        </w:tc>
        <w:tc>
          <w:tcPr>
            <w:tcW w:w="480" w:type="dxa"/>
            <w:tcBorders/>
            <w:shd w:fill="CCEEFF" w:val="cle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shd w:fill="CCEEFF" w:val="clear"/>
            <w:vAlign w:val="center"/>
          </w:tcPr>
          <w:p>
            <w:pPr>
              <w:pStyle w:val="TableContents"/>
              <w:bidi w:val="0"/>
              <w:spacing w:before="0" w:after="283"/>
              <w:jc w:val="left"/>
              <w:rPr/>
            </w:pPr>
            <w:r>
              <w:rPr/>
              <w:t xml:space="preserve">  </w:t>
            </w:r>
          </w:p>
        </w:tc>
        <w:tc>
          <w:tcPr>
            <w:tcW w:w="804" w:type="dxa"/>
            <w:tcBorders/>
            <w:shd w:fill="CCEEFF" w:val="clear"/>
            <w:vAlign w:val="center"/>
          </w:tcPr>
          <w:p>
            <w:pPr>
              <w:pStyle w:val="TableContents"/>
              <w:bidi w:val="0"/>
              <w:spacing w:before="0" w:after="283"/>
              <w:jc w:val="right"/>
              <w:rPr>
                <w:sz w:val="20"/>
              </w:rPr>
            </w:pPr>
            <w:r>
              <w:rPr>
                <w:sz w:val="20"/>
              </w:rPr>
              <w:t xml:space="preserve">17,397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sz w:val="20"/>
              </w:rPr>
            </w:pPr>
            <w:r>
              <w:rPr>
                <w:sz w:val="20"/>
              </w:rPr>
              <w:t xml:space="preserve">Noncontrolling interests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10,106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(10,106 </w:t>
            </w:r>
          </w:p>
        </w:tc>
        <w:tc>
          <w:tcPr>
            <w:tcW w:w="91" w:type="dxa"/>
            <w:tcBorders/>
            <w:shd w:fill="FFFFFF" w:val="clear"/>
            <w:vAlign w:val="center"/>
          </w:tcPr>
          <w:p>
            <w:pPr>
              <w:pStyle w:val="TableContents"/>
              <w:bidi w:val="0"/>
              <w:spacing w:before="0" w:after="283"/>
              <w:jc w:val="left"/>
              <w:rPr>
                <w:sz w:val="20"/>
              </w:rPr>
            </w:pPr>
            <w:r>
              <w:rPr>
                <w:sz w:val="20"/>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13" w:type="dxa"/>
            <w:tcBorders/>
            <w:shd w:fill="FFFFFF" w:val="clear"/>
            <w:vAlign w:val="center"/>
          </w:tcPr>
          <w:p>
            <w:pPr>
              <w:pStyle w:val="TableContents"/>
              <w:bidi w:val="0"/>
              <w:spacing w:before="0" w:after="283"/>
              <w:jc w:val="left"/>
              <w:rPr/>
            </w:pPr>
            <w:r>
              <w:rPr/>
              <w:t xml:space="preserve">  </w:t>
            </w:r>
          </w:p>
        </w:tc>
      </w:tr>
      <w:tr>
        <w:trPr/>
        <w:tc>
          <w:tcPr>
            <w:tcW w:w="4057" w:type="dxa"/>
            <w:tcBorders/>
            <w:shd w:fill="CCEEFF" w:val="clear"/>
            <w:vAlign w:val="center"/>
          </w:tcPr>
          <w:p>
            <w:pPr>
              <w:pStyle w:val="TableContents"/>
              <w:bidi w:val="0"/>
              <w:spacing w:before="0" w:after="283"/>
              <w:jc w:val="left"/>
              <w:rPr>
                <w:sz w:val="20"/>
              </w:rPr>
            </w:pPr>
            <w:r>
              <w:rPr>
                <w:sz w:val="20"/>
              </w:rPr>
              <w:t xml:space="preserve">Total equity </w:t>
            </w:r>
          </w:p>
        </w:tc>
        <w:tc>
          <w:tcPr>
            <w:tcW w:w="75" w:type="dxa"/>
            <w:tcBorders/>
            <w:shd w:fill="CCEEFF" w:val="clear"/>
            <w:vAlign w:val="center"/>
          </w:tcPr>
          <w:p>
            <w:pPr>
              <w:pStyle w:val="TableContents"/>
              <w:bidi w:val="0"/>
              <w:spacing w:before="0" w:after="283"/>
              <w:jc w:val="left"/>
              <w:rPr/>
            </w:pPr>
            <w:r>
              <w:rPr/>
              <w:t xml:space="preserve">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8,252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9,145 </w:t>
            </w:r>
          </w:p>
        </w:tc>
        <w:tc>
          <w:tcPr>
            <w:tcW w:w="91"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17,397 </w:t>
            </w:r>
          </w:p>
        </w:tc>
        <w:tc>
          <w:tcPr>
            <w:tcW w:w="91"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17,397 </w:t>
            </w:r>
          </w:p>
        </w:tc>
        <w:tc>
          <w:tcPr>
            <w:tcW w:w="113" w:type="dxa"/>
            <w:tcBorders/>
            <w:shd w:fill="CCEEFF" w:val="clear"/>
            <w:vAlign w:val="center"/>
          </w:tcPr>
          <w:p>
            <w:pPr>
              <w:pStyle w:val="TableContents"/>
              <w:bidi w:val="0"/>
              <w:spacing w:before="0" w:after="283"/>
              <w:jc w:val="left"/>
              <w:rPr/>
            </w:pPr>
            <w:r>
              <w:rPr/>
              <w:t xml:space="preserve">  </w:t>
            </w:r>
          </w:p>
        </w:tc>
      </w:tr>
      <w:tr>
        <w:trPr/>
        <w:tc>
          <w:tcPr>
            <w:tcW w:w="4057" w:type="dxa"/>
            <w:tcBorders/>
            <w:shd w:fill="FFFFFF" w:val="clear"/>
            <w:vAlign w:val="center"/>
          </w:tcPr>
          <w:p>
            <w:pPr>
              <w:pStyle w:val="TableContents"/>
              <w:bidi w:val="0"/>
              <w:spacing w:before="0" w:after="283"/>
              <w:jc w:val="left"/>
              <w:rPr>
                <w:b/>
                <w:sz w:val="20"/>
              </w:rPr>
            </w:pPr>
            <w:r>
              <w:rPr>
                <w:b/>
                <w:sz w:val="20"/>
              </w:rPr>
              <w:t xml:space="preserve">Total Liabilities and Stockholders' Equity </w:t>
            </w:r>
          </w:p>
        </w:tc>
        <w:tc>
          <w:tcPr>
            <w:tcW w:w="75" w:type="dxa"/>
            <w:tcBorders/>
            <w:shd w:fill="FFFFFF" w:val="clear"/>
            <w:vAlign w:val="center"/>
          </w:tcPr>
          <w:p>
            <w:pPr>
              <w:pStyle w:val="TableContents"/>
              <w:bidi w:val="0"/>
              <w:spacing w:before="0" w:after="283"/>
              <w:jc w:val="left"/>
              <w:rPr/>
            </w:pPr>
            <w:r>
              <w:rPr/>
              <w:t xml:space="preserve">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76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20,526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8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3,422 </w:t>
            </w:r>
          </w:p>
        </w:tc>
        <w:tc>
          <w:tcPr>
            <w:tcW w:w="91" w:type="dxa"/>
            <w:tcBorders/>
            <w:shd w:fill="FFFFFF" w:val="clear"/>
            <w:vAlign w:val="center"/>
          </w:tcPr>
          <w:p>
            <w:pPr>
              <w:pStyle w:val="TableContents"/>
              <w:bidi w:val="0"/>
              <w:spacing w:before="0" w:after="283"/>
              <w:jc w:val="left"/>
              <w:rPr/>
            </w:pPr>
            <w:r>
              <w:rPr/>
              <w:t xml:space="preserve">  </w:t>
            </w:r>
          </w:p>
        </w:tc>
        <w:tc>
          <w:tcPr>
            <w:tcW w:w="230"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77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23,948 </w:t>
            </w:r>
          </w:p>
        </w:tc>
        <w:tc>
          <w:tcPr>
            <w:tcW w:w="91"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4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23,948 </w:t>
            </w:r>
          </w:p>
        </w:tc>
        <w:tc>
          <w:tcPr>
            <w:tcW w:w="113"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370"/>
        <w:gridCol w:w="89"/>
        <w:gridCol w:w="154"/>
        <w:gridCol w:w="874"/>
        <w:gridCol w:w="109"/>
        <w:gridCol w:w="89"/>
        <w:gridCol w:w="180"/>
        <w:gridCol w:w="902"/>
        <w:gridCol w:w="109"/>
        <w:gridCol w:w="265"/>
        <w:gridCol w:w="89"/>
        <w:gridCol w:w="154"/>
        <w:gridCol w:w="874"/>
        <w:gridCol w:w="109"/>
        <w:gridCol w:w="89"/>
        <w:gridCol w:w="213"/>
        <w:gridCol w:w="885"/>
        <w:gridCol w:w="184"/>
        <w:gridCol w:w="220"/>
        <w:gridCol w:w="89"/>
        <w:gridCol w:w="154"/>
        <w:gridCol w:w="874"/>
        <w:gridCol w:w="130"/>
      </w:tblGrid>
      <w:tr>
        <w:trPr/>
        <w:tc>
          <w:tcPr>
            <w:tcW w:w="3370"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pPr>
            <w:r>
              <w:rPr>
                <w:b/>
                <w:sz w:val="20"/>
              </w:rPr>
              <w:t>Historical</w:t>
            </w:r>
            <w:r>
              <w:rPr/>
              <w:t xml:space="preserve"> </w:t>
            </w:r>
          </w:p>
        </w:tc>
        <w:tc>
          <w:tcPr>
            <w:tcW w:w="109"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082" w:type="dxa"/>
            <w:gridSpan w:val="2"/>
            <w:tcBorders>
              <w:bottom w:val="single" w:sz="8" w:space="0" w:color="000000"/>
            </w:tcBorders>
            <w:tcMar>
              <w:bottom w:w="28" w:type="dxa"/>
            </w:tcMar>
            <w:vAlign w:val="center"/>
          </w:tcPr>
          <w:p>
            <w:pPr>
              <w:pStyle w:val="TableContents"/>
              <w:bidi w:val="0"/>
              <w:spacing w:before="0" w:after="283"/>
              <w:jc w:val="center"/>
              <w:rPr/>
            </w:pPr>
            <w:r>
              <w:rPr>
                <w:b/>
                <w:sz w:val="20"/>
              </w:rPr>
              <w:t>Transaction</w:t>
              <w:br/>
              <w:t>Adjustments</w:t>
            </w:r>
            <w:r>
              <w:rPr/>
              <w:t xml:space="preserve"> </w:t>
            </w:r>
          </w:p>
        </w:tc>
        <w:tc>
          <w:tcPr>
            <w:tcW w:w="109" w:type="dxa"/>
            <w:tcBorders/>
            <w:vAlign w:val="center"/>
          </w:tcPr>
          <w:p>
            <w:pPr>
              <w:pStyle w:val="TableContents"/>
              <w:bidi w:val="0"/>
              <w:spacing w:before="0" w:after="283"/>
              <w:jc w:val="left"/>
              <w:rPr/>
            </w:pPr>
            <w:r>
              <w:rPr/>
              <w:t xml:space="preserve">  </w:t>
            </w:r>
          </w:p>
        </w:tc>
        <w:tc>
          <w:tcPr>
            <w:tcW w:w="265" w:type="dxa"/>
            <w:tcBorders/>
            <w:vAlign w:val="center"/>
          </w:tcPr>
          <w:p>
            <w:pPr>
              <w:pStyle w:val="TableContents"/>
              <w:bidi w:val="0"/>
              <w:spacing w:before="0" w:after="283"/>
              <w:jc w:val="center"/>
              <w:rPr/>
            </w:pPr>
            <w:r>
              <w:rPr>
                <w:b/>
                <w:sz w:val="20"/>
              </w:rPr>
              <w:t>{a}</w:t>
            </w:r>
            <w:r>
              <w:rPr/>
              <w:t xml:space="preserve"> </w:t>
            </w:r>
          </w:p>
        </w:tc>
        <w:tc>
          <w:tcPr>
            <w:tcW w:w="89" w:type="dxa"/>
            <w:tcBorders/>
            <w:vAlign w:val="center"/>
          </w:tcPr>
          <w:p>
            <w:pPr>
              <w:pStyle w:val="TableContents"/>
              <w:bidi w:val="0"/>
              <w:spacing w:before="0" w:after="283"/>
              <w:jc w:val="left"/>
              <w:rPr/>
            </w:pPr>
            <w:r>
              <w:rPr/>
              <w:t xml:space="preserve">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pPr>
            <w:r>
              <w:rPr>
                <w:b/>
                <w:sz w:val="20"/>
              </w:rPr>
              <w:t>Pro Forma</w:t>
            </w:r>
            <w:r>
              <w:rPr/>
              <w:t xml:space="preserve"> </w:t>
            </w:r>
          </w:p>
        </w:tc>
        <w:tc>
          <w:tcPr>
            <w:tcW w:w="109"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098" w:type="dxa"/>
            <w:gridSpan w:val="2"/>
            <w:tcBorders>
              <w:bottom w:val="single" w:sz="8" w:space="0" w:color="000000"/>
            </w:tcBorders>
            <w:tcMar>
              <w:bottom w:w="28" w:type="dxa"/>
            </w:tcMar>
            <w:vAlign w:val="center"/>
          </w:tcPr>
          <w:p>
            <w:pPr>
              <w:pStyle w:val="TableContents"/>
              <w:bidi w:val="0"/>
              <w:spacing w:before="0" w:after="283"/>
              <w:jc w:val="center"/>
              <w:rPr/>
            </w:pPr>
            <w:r>
              <w:rPr>
                <w:b/>
                <w:sz w:val="20"/>
              </w:rPr>
              <w:t>Autonomous</w:t>
              <w:br/>
              <w:t>Entity</w:t>
              <w:br/>
              <w:t>Adjustments</w:t>
            </w:r>
            <w:r>
              <w:rPr/>
              <w:t xml:space="preserve"> </w:t>
            </w:r>
          </w:p>
        </w:tc>
        <w:tc>
          <w:tcPr>
            <w:tcW w:w="184" w:type="dxa"/>
            <w:tcBorders/>
            <w:vAlign w:val="center"/>
          </w:tcPr>
          <w:p>
            <w:pPr>
              <w:pStyle w:val="TableContents"/>
              <w:bidi w:val="0"/>
              <w:spacing w:before="0" w:after="283"/>
              <w:jc w:val="left"/>
              <w:rPr/>
            </w:pPr>
            <w:r>
              <w:rPr/>
              <w:t xml:space="preserve">  </w:t>
            </w:r>
          </w:p>
        </w:tc>
        <w:tc>
          <w:tcPr>
            <w:tcW w:w="220"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pPr>
            <w:r>
              <w:rPr>
                <w:b/>
                <w:sz w:val="20"/>
              </w:rPr>
              <w:t>Pro Forma</w:t>
              <w:br/>
              <w:t>Standalone</w:t>
            </w:r>
            <w:r>
              <w:rPr/>
              <w:t xml:space="preserve"> </w:t>
            </w:r>
          </w:p>
        </w:tc>
        <w:tc>
          <w:tcPr>
            <w:tcW w:w="130" w:type="dxa"/>
            <w:tcBorders/>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b/>
                <w:sz w:val="20"/>
              </w:rPr>
              <w:t>Revenue, net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Services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sz w:val="20"/>
              </w:rPr>
              <w:t>$</w:t>
            </w:r>
            <w:r>
              <w:rPr/>
              <w:t xml:space="preserve"> </w:t>
            </w:r>
          </w:p>
        </w:tc>
        <w:tc>
          <w:tcPr>
            <w:tcW w:w="874" w:type="dxa"/>
            <w:tcBorders/>
            <w:shd w:fill="FFFFFF" w:val="clear"/>
            <w:vAlign w:val="center"/>
          </w:tcPr>
          <w:p>
            <w:pPr>
              <w:pStyle w:val="TableContents"/>
              <w:bidi w:val="0"/>
              <w:spacing w:before="0" w:after="283"/>
              <w:jc w:val="right"/>
              <w:rPr/>
            </w:pPr>
            <w:r>
              <w:rPr>
                <w:sz w:val="20"/>
              </w:rPr>
              <w:t>12,596</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sz w:val="20"/>
              </w:rPr>
              <w:t>$</w:t>
            </w:r>
            <w:r>
              <w:rPr/>
              <w:t xml:space="preserve"> </w:t>
            </w:r>
          </w:p>
        </w:tc>
        <w:tc>
          <w:tcPr>
            <w:tcW w:w="902" w:type="dxa"/>
            <w:tcBorders/>
            <w:shd w:fill="FFFFFF" w:val="clear"/>
            <w:vAlign w:val="center"/>
          </w:tcPr>
          <w:p>
            <w:pPr>
              <w:pStyle w:val="TableContents"/>
              <w:bidi w:val="0"/>
              <w:spacing w:before="0" w:after="283"/>
              <w:jc w:val="right"/>
              <w:rPr/>
            </w:pPr>
            <w:r>
              <w:rPr>
                <w:sz w:val="20"/>
              </w:rPr>
              <w:t>(11,546</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sz w:val="20"/>
              </w:rPr>
              <w:t>$</w:t>
            </w:r>
            <w:r>
              <w:rPr/>
              <w:t xml:space="preserve"> </w:t>
            </w:r>
          </w:p>
        </w:tc>
        <w:tc>
          <w:tcPr>
            <w:tcW w:w="874" w:type="dxa"/>
            <w:tcBorders/>
            <w:shd w:fill="FFFFFF" w:val="clear"/>
            <w:vAlign w:val="center"/>
          </w:tcPr>
          <w:p>
            <w:pPr>
              <w:pStyle w:val="TableContents"/>
              <w:bidi w:val="0"/>
              <w:spacing w:before="0" w:after="283"/>
              <w:jc w:val="right"/>
              <w:rPr/>
            </w:pPr>
            <w:r>
              <w:rPr>
                <w:sz w:val="20"/>
              </w:rPr>
              <w:t>1,050</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sz w:val="20"/>
              </w:rPr>
              <w:t>$</w:t>
            </w: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sz w:val="20"/>
              </w:rPr>
              <w:t>$</w:t>
            </w:r>
            <w:r>
              <w:rPr/>
              <w:t xml:space="preserve"> </w:t>
            </w:r>
          </w:p>
        </w:tc>
        <w:tc>
          <w:tcPr>
            <w:tcW w:w="874" w:type="dxa"/>
            <w:tcBorders/>
            <w:shd w:fill="FFFFFF" w:val="clear"/>
            <w:vAlign w:val="center"/>
          </w:tcPr>
          <w:p>
            <w:pPr>
              <w:pStyle w:val="TableContents"/>
              <w:bidi w:val="0"/>
              <w:spacing w:before="0" w:after="283"/>
              <w:jc w:val="right"/>
              <w:rPr/>
            </w:pPr>
            <w:r>
              <w:rPr>
                <w:sz w:val="20"/>
              </w:rPr>
              <w:t>1,050</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Products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1,188</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(1,161</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27</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27</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Total revenue, net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13,784</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(12,707</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1,077</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1,077</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Cost of sales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Labor</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6,011</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sz w:val="20"/>
              </w:rPr>
              <w:t>(5,294</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717</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717</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Occupancy</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1,367</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(1,152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215</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215</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Products and other operating costs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1,104</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(934</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170</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170</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Total cost of sales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8,482</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(7,380</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1,102</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1,102</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b/>
                <w:sz w:val="20"/>
              </w:rPr>
              <w:t>Gross Profit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5,302</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sz w:val="20"/>
              </w:rPr>
              <w:t>(5,327</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(25</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(25</w:t>
            </w:r>
            <w:r>
              <w:rPr/>
              <w:t xml:space="preserve"> </w:t>
            </w:r>
          </w:p>
        </w:tc>
        <w:tc>
          <w:tcPr>
            <w:tcW w:w="130" w:type="dxa"/>
            <w:tcBorders/>
            <w:shd w:fill="CCEEFF" w:val="clear"/>
            <w:vAlign w:val="center"/>
          </w:tcPr>
          <w:p>
            <w:pPr>
              <w:pStyle w:val="TableContents"/>
              <w:bidi w:val="0"/>
              <w:spacing w:before="0" w:after="283"/>
              <w:jc w:val="left"/>
              <w:rPr/>
            </w:pPr>
            <w:r>
              <w:rPr>
                <w:sz w:val="20"/>
              </w:rPr>
              <w:t>)</w:t>
            </w:r>
            <w:r>
              <w:rPr/>
              <w:t xml:space="preserve"> </w:t>
            </w:r>
          </w:p>
        </w:tc>
      </w:tr>
      <w:tr>
        <w:trPr/>
        <w:tc>
          <w:tcPr>
            <w:tcW w:w="3370" w:type="dxa"/>
            <w:tcBorders/>
            <w:shd w:fill="FFFFFF" w:val="clear"/>
            <w:vAlign w:val="center"/>
          </w:tcPr>
          <w:p>
            <w:pPr>
              <w:pStyle w:val="TableContents"/>
              <w:bidi w:val="0"/>
              <w:spacing w:before="0" w:after="283"/>
              <w:jc w:val="left"/>
              <w:rPr/>
            </w:pPr>
            <w:r>
              <w:rPr>
                <w:sz w:val="20"/>
              </w:rPr>
              <w:t>Depreciation and amortization</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335</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(257</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78</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78</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Loss on disposal of assets, net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239</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sz w:val="20"/>
              </w:rPr>
              <w:t>(239</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General and administrative</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12,246</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(6,396</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5,850</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right"/>
              <w:rPr/>
            </w:pPr>
            <w:r>
              <w:rPr>
                <w:b/>
                <w:sz w:val="20"/>
              </w:rPr>
              <w:t>{f}</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6,100</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b/>
                <w:sz w:val="20"/>
              </w:rPr>
              <w:t>Total operating expenses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12,820</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(6,892</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5,928</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250</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6,178</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Operating loss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(7,518</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1,565</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(5,953</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sz w:val="20"/>
              </w:rPr>
              <w:t>)</w:t>
            </w: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(6,203</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Change in fair value of derivative liabilities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(5,584</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(5,584</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(5,584</w:t>
            </w:r>
            <w:r>
              <w:rPr/>
              <w:t xml:space="preserve"> </w:t>
            </w:r>
          </w:p>
        </w:tc>
        <w:tc>
          <w:tcPr>
            <w:tcW w:w="130" w:type="dxa"/>
            <w:tcBorders/>
            <w:shd w:fill="CCEEFF" w:val="clear"/>
            <w:vAlign w:val="center"/>
          </w:tcPr>
          <w:p>
            <w:pPr>
              <w:pStyle w:val="TableContents"/>
              <w:bidi w:val="0"/>
              <w:spacing w:before="0" w:after="283"/>
              <w:jc w:val="left"/>
              <w:rPr/>
            </w:pPr>
            <w:r>
              <w:rPr>
                <w:sz w:val="20"/>
              </w:rPr>
              <w:t>)</w:t>
            </w:r>
            <w:r>
              <w:rPr/>
              <w:t xml:space="preserve"> </w:t>
            </w:r>
          </w:p>
        </w:tc>
      </w:tr>
      <w:tr>
        <w:trPr/>
        <w:tc>
          <w:tcPr>
            <w:tcW w:w="3370" w:type="dxa"/>
            <w:tcBorders/>
            <w:shd w:fill="FFFFFF" w:val="clear"/>
            <w:vAlign w:val="center"/>
          </w:tcPr>
          <w:p>
            <w:pPr>
              <w:pStyle w:val="TableContents"/>
              <w:bidi w:val="0"/>
              <w:spacing w:before="0" w:after="283"/>
              <w:jc w:val="left"/>
              <w:rPr/>
            </w:pPr>
            <w:r>
              <w:rPr>
                <w:sz w:val="20"/>
              </w:rPr>
              <w:t>Interest income, net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(32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(10</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(42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(42</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Foreign exchange gain (loss)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179</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sz w:val="20"/>
              </w:rPr>
              <w:t>(179</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sz w:val="20"/>
              </w:rPr>
              <w:t>-</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Loss on investments, realized and unrealized</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166</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166</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166</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Other non-operating expense, net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(55</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47</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(8</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(8</w:t>
            </w:r>
            <w:r>
              <w:rPr/>
              <w:t xml:space="preserve"> </w:t>
            </w:r>
          </w:p>
        </w:tc>
        <w:tc>
          <w:tcPr>
            <w:tcW w:w="130" w:type="dxa"/>
            <w:tcBorders/>
            <w:shd w:fill="CCEEFF" w:val="clear"/>
            <w:vAlign w:val="center"/>
          </w:tcPr>
          <w:p>
            <w:pPr>
              <w:pStyle w:val="TableContents"/>
              <w:bidi w:val="0"/>
              <w:spacing w:before="0" w:after="283"/>
              <w:jc w:val="left"/>
              <w:rPr/>
            </w:pPr>
            <w:r>
              <w:rPr>
                <w:sz w:val="20"/>
              </w:rPr>
              <w:t>)</w:t>
            </w:r>
            <w:r>
              <w:rPr/>
              <w:t xml:space="preserve"> </w:t>
            </w:r>
          </w:p>
        </w:tc>
      </w:tr>
      <w:tr>
        <w:trPr/>
        <w:tc>
          <w:tcPr>
            <w:tcW w:w="3370" w:type="dxa"/>
            <w:tcBorders/>
            <w:shd w:fill="FFFFFF" w:val="clear"/>
            <w:vAlign w:val="center"/>
          </w:tcPr>
          <w:p>
            <w:pPr>
              <w:pStyle w:val="TableContents"/>
              <w:bidi w:val="0"/>
              <w:spacing w:before="0" w:after="283"/>
              <w:jc w:val="left"/>
              <w:rPr/>
            </w:pPr>
            <w:r>
              <w:rPr>
                <w:b/>
                <w:sz w:val="20"/>
              </w:rPr>
              <w:t>Loss before income taxes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(12,844</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1,423</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(11,421</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sz w:val="20"/>
              </w:rPr>
              <w:t>)</w:t>
            </w: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(11,671</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Income tax expense</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(51</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(51</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(51</w:t>
            </w:r>
            <w:r>
              <w:rPr/>
              <w:t xml:space="preserve"> </w:t>
            </w:r>
          </w:p>
        </w:tc>
        <w:tc>
          <w:tcPr>
            <w:tcW w:w="130" w:type="dxa"/>
            <w:tcBorders/>
            <w:shd w:fill="CCEEFF" w:val="clear"/>
            <w:vAlign w:val="center"/>
          </w:tcPr>
          <w:p>
            <w:pPr>
              <w:pStyle w:val="TableContents"/>
              <w:bidi w:val="0"/>
              <w:spacing w:before="0" w:after="283"/>
              <w:jc w:val="left"/>
              <w:rPr/>
            </w:pPr>
            <w:r>
              <w:rPr>
                <w:sz w:val="20"/>
              </w:rPr>
              <w:t>)</w:t>
            </w:r>
            <w:r>
              <w:rPr/>
              <w:t xml:space="preserve"> </w:t>
            </w:r>
          </w:p>
        </w:tc>
      </w:tr>
      <w:tr>
        <w:trPr/>
        <w:tc>
          <w:tcPr>
            <w:tcW w:w="3370" w:type="dxa"/>
            <w:tcBorders/>
            <w:shd w:fill="FFFFFF" w:val="clear"/>
            <w:vAlign w:val="center"/>
          </w:tcPr>
          <w:p>
            <w:pPr>
              <w:pStyle w:val="TableContents"/>
              <w:bidi w:val="0"/>
              <w:spacing w:before="0" w:after="283"/>
              <w:jc w:val="left"/>
              <w:rPr/>
            </w:pPr>
            <w:r>
              <w:rPr>
                <w:b/>
                <w:sz w:val="20"/>
              </w:rPr>
              <w:t>Net loss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(12,895</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1,423</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(11,472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sz w:val="20"/>
              </w:rPr>
              <w:t>)</w:t>
            </w: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(11,722</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Net loss attributable to noncontrolling interests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(547</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547</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Net loss attributable to XWELL, Inc.</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(13,442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1,970</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(11,472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sz w:val="20"/>
              </w:rPr>
              <w:t>)</w:t>
            </w: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(11,722</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Net loss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(12,895</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1,423</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(11,472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t xml:space="preserve">(250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(11,722</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Other comprehensive income (loss) from operations</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(119</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(119</w:t>
            </w:r>
            <w:r>
              <w:rPr/>
              <w:t xml:space="preserve"> </w:t>
            </w:r>
          </w:p>
        </w:tc>
        <w:tc>
          <w:tcPr>
            <w:tcW w:w="109" w:type="dxa"/>
            <w:tcBorders/>
            <w:shd w:fill="CCEEFF" w:val="clear"/>
            <w:vAlign w:val="center"/>
          </w:tcPr>
          <w:p>
            <w:pPr>
              <w:pStyle w:val="TableContents"/>
              <w:bidi w:val="0"/>
              <w:spacing w:before="0" w:after="283"/>
              <w:jc w:val="left"/>
              <w:rPr/>
            </w:pPr>
            <w:r>
              <w:rPr>
                <w:sz w:val="20"/>
              </w:rPr>
              <w:t>)</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(119</w:t>
            </w:r>
            <w:r>
              <w:rPr/>
              <w:t xml:space="preserve"> </w:t>
            </w:r>
          </w:p>
        </w:tc>
        <w:tc>
          <w:tcPr>
            <w:tcW w:w="130" w:type="dxa"/>
            <w:tcBorders/>
            <w:shd w:fill="CCEEFF" w:val="clear"/>
            <w:vAlign w:val="center"/>
          </w:tcPr>
          <w:p>
            <w:pPr>
              <w:pStyle w:val="TableContents"/>
              <w:bidi w:val="0"/>
              <w:spacing w:before="0" w:after="283"/>
              <w:jc w:val="left"/>
              <w:rPr/>
            </w:pPr>
            <w:r>
              <w:rPr>
                <w:sz w:val="20"/>
              </w:rPr>
              <w:t>)</w:t>
            </w:r>
            <w:r>
              <w:rPr/>
              <w:t xml:space="preserve"> </w:t>
            </w:r>
          </w:p>
        </w:tc>
      </w:tr>
      <w:tr>
        <w:trPr/>
        <w:tc>
          <w:tcPr>
            <w:tcW w:w="3370" w:type="dxa"/>
            <w:tcBorders/>
            <w:shd w:fill="FFFFFF" w:val="clear"/>
            <w:vAlign w:val="center"/>
          </w:tcPr>
          <w:p>
            <w:pPr>
              <w:pStyle w:val="TableContents"/>
              <w:bidi w:val="0"/>
              <w:spacing w:before="0" w:after="283"/>
              <w:jc w:val="left"/>
              <w:rPr/>
            </w:pPr>
            <w:r>
              <w:rPr>
                <w:b/>
                <w:sz w:val="20"/>
              </w:rPr>
              <w:t>Comprehensive loss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(13,014</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1,423</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(11,591</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(250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(11,841</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b/>
                <w:sz w:val="20"/>
              </w:rPr>
              <w:t>Loss per share</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Preferred stock dividends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(82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902" w:type="dxa"/>
            <w:tcBorders/>
            <w:shd w:fill="FFFFFF" w:val="clear"/>
            <w:vAlign w:val="center"/>
          </w:tcPr>
          <w:p>
            <w:pPr>
              <w:pStyle w:val="TableContents"/>
              <w:bidi w:val="0"/>
              <w:spacing w:before="0" w:after="283"/>
              <w:jc w:val="right"/>
              <w:rPr/>
            </w:pPr>
            <w:r>
              <w:rPr>
                <w:sz w:val="20"/>
              </w:rPr>
              <w:t>-</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(82</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c>
          <w:tcPr>
            <w:tcW w:w="874" w:type="dxa"/>
            <w:tcBorders/>
            <w:shd w:fill="FFFFFF" w:val="clear"/>
            <w:vAlign w:val="center"/>
          </w:tcPr>
          <w:p>
            <w:pPr>
              <w:pStyle w:val="TableContents"/>
              <w:bidi w:val="0"/>
              <w:spacing w:before="0" w:after="283"/>
              <w:jc w:val="right"/>
              <w:rPr/>
            </w:pPr>
            <w:r>
              <w:rPr>
                <w:sz w:val="20"/>
              </w:rPr>
              <w:t>(82</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sz w:val="20"/>
              </w:rPr>
              <w:t>Deemed contribution on Repurchase of Series G Preferred Stock</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106</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106</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106</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Net loss attributable to XWELL, Inc. common stockholders</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(13,418</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1,970</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(11,448</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(250</w:t>
            </w:r>
            <w:r>
              <w:rPr/>
              <w:t xml:space="preserve"> </w:t>
            </w:r>
          </w:p>
        </w:tc>
        <w:tc>
          <w:tcPr>
            <w:tcW w:w="184" w:type="dxa"/>
            <w:tcBorders/>
            <w:shd w:fill="FFFFFF" w:val="clear"/>
            <w:vAlign w:val="center"/>
          </w:tcPr>
          <w:p>
            <w:pPr>
              <w:pStyle w:val="TableContents"/>
              <w:bidi w:val="0"/>
              <w:spacing w:before="0" w:after="283"/>
              <w:jc w:val="left"/>
              <w:rPr/>
            </w:pPr>
            <w:r>
              <w:rPr>
                <w:sz w:val="20"/>
              </w:rPr>
              <w:t>)</w:t>
            </w: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(11,698</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b/>
                <w:sz w:val="20"/>
              </w:rPr>
              <w:t>Basic and diluted loss per share</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(1.69</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0.25</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(1.44</w:t>
            </w:r>
            <w:r>
              <w:rPr/>
              <w:t xml:space="preserve"> </w:t>
            </w:r>
          </w:p>
        </w:tc>
        <w:tc>
          <w:tcPr>
            <w:tcW w:w="109" w:type="dxa"/>
            <w:tcBorders/>
            <w:shd w:fill="FFFFFF" w:val="clear"/>
            <w:vAlign w:val="center"/>
          </w:tcPr>
          <w:p>
            <w:pPr>
              <w:pStyle w:val="TableContents"/>
              <w:bidi w:val="0"/>
              <w:spacing w:before="0" w:after="283"/>
              <w:jc w:val="left"/>
              <w:rPr/>
            </w:pPr>
            <w:r>
              <w:rPr>
                <w:sz w:val="20"/>
              </w:rPr>
              <w:t>)</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(0.03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(1.47</w:t>
            </w:r>
            <w:r>
              <w:rPr/>
              <w:t xml:space="preserve"> </w:t>
            </w:r>
          </w:p>
        </w:tc>
        <w:tc>
          <w:tcPr>
            <w:tcW w:w="130" w:type="dxa"/>
            <w:tcBorders/>
            <w:shd w:fill="FFFFFF" w:val="clear"/>
            <w:vAlign w:val="center"/>
          </w:tcPr>
          <w:p>
            <w:pPr>
              <w:pStyle w:val="TableContents"/>
              <w:bidi w:val="0"/>
              <w:spacing w:before="0" w:after="283"/>
              <w:jc w:val="left"/>
              <w:rPr/>
            </w:pPr>
            <w:r>
              <w:rPr>
                <w:sz w:val="20"/>
              </w:rPr>
              <w:t>)</w:t>
            </w:r>
            <w:r>
              <w:rPr/>
              <w:t xml:space="preserve"> </w:t>
            </w:r>
          </w:p>
        </w:tc>
      </w:tr>
      <w:tr>
        <w:trPr/>
        <w:tc>
          <w:tcPr>
            <w:tcW w:w="3370" w:type="dxa"/>
            <w:tcBorders/>
            <w:shd w:fill="CCEEFF" w:val="clear"/>
            <w:vAlign w:val="center"/>
          </w:tcPr>
          <w:p>
            <w:pPr>
              <w:pStyle w:val="TableContents"/>
              <w:bidi w:val="0"/>
              <w:spacing w:before="0" w:after="283"/>
              <w:jc w:val="left"/>
              <w:rPr/>
            </w:pPr>
            <w:r>
              <w:rPr>
                <w:b/>
                <w:sz w:val="20"/>
              </w:rPr>
              <w:t>Weighted-average number of shares outstanding</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902"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c>
          <w:tcPr>
            <w:tcW w:w="874" w:type="dxa"/>
            <w:tcBorders/>
            <w:shd w:fill="CCEEFF" w:val="clear"/>
            <w:vAlign w:val="center"/>
          </w:tcPr>
          <w:p>
            <w:pPr>
              <w:pStyle w:val="TableContents"/>
              <w:bidi w:val="0"/>
              <w:spacing w:before="0" w:after="283"/>
              <w:jc w:val="right"/>
              <w:rPr/>
            </w:pP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r>
        <w:trPr/>
        <w:tc>
          <w:tcPr>
            <w:tcW w:w="3370" w:type="dxa"/>
            <w:tcBorders/>
            <w:shd w:fill="FFFFFF" w:val="clear"/>
            <w:vAlign w:val="center"/>
          </w:tcPr>
          <w:p>
            <w:pPr>
              <w:pStyle w:val="TableContents"/>
              <w:bidi w:val="0"/>
              <w:spacing w:before="0" w:after="283"/>
              <w:jc w:val="left"/>
              <w:rPr/>
            </w:pPr>
            <w:r>
              <w:rPr>
                <w:sz w:val="20"/>
              </w:rPr>
              <w:t>Basic</w:t>
            </w: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7,944,801</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7,944,801</w:t>
            </w:r>
            <w:r>
              <w:rPr/>
              <w:t xml:space="preserve"> </w:t>
            </w:r>
          </w:p>
        </w:tc>
        <w:tc>
          <w:tcPr>
            <w:tcW w:w="109"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FFFFFF" w:val="clear"/>
            <w:vAlign w:val="center"/>
          </w:tcPr>
          <w:p>
            <w:pPr>
              <w:pStyle w:val="TableContents"/>
              <w:bidi w:val="0"/>
              <w:spacing w:before="0" w:after="283"/>
              <w:jc w:val="left"/>
              <w:rPr/>
            </w:pPr>
            <w:r>
              <w:rPr/>
              <w:t xml:space="preserve">  </w:t>
            </w:r>
          </w:p>
        </w:tc>
        <w:tc>
          <w:tcPr>
            <w:tcW w:w="220"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7,944,801</w:t>
            </w:r>
            <w:r>
              <w:rPr/>
              <w:t xml:space="preserve"> </w:t>
            </w:r>
          </w:p>
        </w:tc>
        <w:tc>
          <w:tcPr>
            <w:tcW w:w="130" w:type="dxa"/>
            <w:tcBorders/>
            <w:shd w:fill="FFFFFF" w:val="clear"/>
            <w:vAlign w:val="center"/>
          </w:tcPr>
          <w:p>
            <w:pPr>
              <w:pStyle w:val="TableContents"/>
              <w:bidi w:val="0"/>
              <w:spacing w:before="0" w:after="283"/>
              <w:jc w:val="left"/>
              <w:rPr/>
            </w:pPr>
            <w:r>
              <w:rPr/>
              <w:t xml:space="preserve">  </w:t>
            </w:r>
          </w:p>
        </w:tc>
      </w:tr>
      <w:tr>
        <w:trPr/>
        <w:tc>
          <w:tcPr>
            <w:tcW w:w="3370" w:type="dxa"/>
            <w:tcBorders/>
            <w:shd w:fill="CCEEFF" w:val="clear"/>
            <w:vAlign w:val="center"/>
          </w:tcPr>
          <w:p>
            <w:pPr>
              <w:pStyle w:val="TableContents"/>
              <w:bidi w:val="0"/>
              <w:spacing w:before="0" w:after="283"/>
              <w:jc w:val="left"/>
              <w:rPr/>
            </w:pPr>
            <w:r>
              <w:rPr>
                <w:sz w:val="20"/>
              </w:rPr>
              <w:t>Diluted</w:t>
            </w: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pPr>
            <w:r>
              <w:rPr>
                <w:sz w:val="20"/>
              </w:rPr>
              <w:t>7,944,801</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pPr>
            <w:r>
              <w:rPr>
                <w:sz w:val="20"/>
              </w:rPr>
              <w:t>7,944,801</w:t>
            </w:r>
            <w:r>
              <w:rPr/>
              <w:t xml:space="preserve"> </w:t>
            </w:r>
          </w:p>
        </w:tc>
        <w:tc>
          <w:tcPr>
            <w:tcW w:w="109"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pPr>
            <w:r>
              <w:rPr>
                <w:sz w:val="20"/>
              </w:rPr>
              <w:t>-</w:t>
            </w:r>
            <w:r>
              <w:rPr/>
              <w:t xml:space="preserve"> </w:t>
            </w:r>
          </w:p>
        </w:tc>
        <w:tc>
          <w:tcPr>
            <w:tcW w:w="184" w:type="dxa"/>
            <w:tcBorders/>
            <w:shd w:fill="CCEEFF" w:val="clear"/>
            <w:vAlign w:val="center"/>
          </w:tcPr>
          <w:p>
            <w:pPr>
              <w:pStyle w:val="TableContents"/>
              <w:bidi w:val="0"/>
              <w:spacing w:before="0" w:after="283"/>
              <w:jc w:val="left"/>
              <w:rPr/>
            </w:pPr>
            <w:r>
              <w:rPr/>
              <w:t xml:space="preserve">  </w:t>
            </w:r>
          </w:p>
        </w:tc>
        <w:tc>
          <w:tcPr>
            <w:tcW w:w="220"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pPr>
            <w:r>
              <w:rPr>
                <w:sz w:val="20"/>
              </w:rPr>
              <w:t>7,944,801</w:t>
            </w:r>
            <w:r>
              <w:rPr/>
              <w:t xml:space="preserve"> </w:t>
            </w:r>
          </w:p>
        </w:tc>
        <w:tc>
          <w:tcPr>
            <w:tcW w:w="130"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283"/>
        <w:jc w:val="left"/>
        <w:rPr/>
      </w:pPr>
      <w:r>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YEAR ENDED DECEMBER 31, 2025</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419"/>
        <w:gridCol w:w="91"/>
        <w:gridCol w:w="148"/>
        <w:gridCol w:w="868"/>
        <w:gridCol w:w="103"/>
        <w:gridCol w:w="91"/>
        <w:gridCol w:w="173"/>
        <w:gridCol w:w="904"/>
        <w:gridCol w:w="103"/>
        <w:gridCol w:w="263"/>
        <w:gridCol w:w="91"/>
        <w:gridCol w:w="148"/>
        <w:gridCol w:w="868"/>
        <w:gridCol w:w="103"/>
        <w:gridCol w:w="91"/>
        <w:gridCol w:w="241"/>
        <w:gridCol w:w="850"/>
        <w:gridCol w:w="148"/>
        <w:gridCol w:w="218"/>
        <w:gridCol w:w="91"/>
        <w:gridCol w:w="148"/>
        <w:gridCol w:w="868"/>
        <w:gridCol w:w="177"/>
      </w:tblGrid>
      <w:tr>
        <w:trPr/>
        <w:tc>
          <w:tcPr>
            <w:tcW w:w="3419" w:type="dxa"/>
            <w:tcBorders/>
            <w:vAlign w:val="center"/>
          </w:tcPr>
          <w:p>
            <w:pPr>
              <w:pStyle w:val="TableContents"/>
              <w:bidi w:val="0"/>
              <w:spacing w:before="0" w:after="283"/>
              <w:jc w:val="left"/>
              <w:rPr/>
            </w:pPr>
            <w:r>
              <w:rPr/>
              <w:t xml:space="preserve">  </w:t>
            </w:r>
          </w:p>
        </w:tc>
        <w:tc>
          <w:tcPr>
            <w:tcW w:w="91" w:type="dxa"/>
            <w:tcBorders/>
            <w:vAlign w:val="center"/>
          </w:tcPr>
          <w:p>
            <w:pPr>
              <w:pStyle w:val="TableContents"/>
              <w:bidi w:val="0"/>
              <w:spacing w:before="0" w:after="283"/>
              <w:jc w:val="left"/>
              <w:rPr/>
            </w:pPr>
            <w:r>
              <w:rPr/>
              <w:t xml:space="preserve">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Historical </w:t>
            </w:r>
          </w:p>
        </w:tc>
        <w:tc>
          <w:tcPr>
            <w:tcW w:w="103" w:type="dxa"/>
            <w:tcBorders/>
            <w:vAlign w:val="center"/>
          </w:tcPr>
          <w:p>
            <w:pPr>
              <w:pStyle w:val="TableContents"/>
              <w:bidi w:val="0"/>
              <w:spacing w:before="0" w:after="283"/>
              <w:jc w:val="left"/>
              <w:rPr/>
            </w:pPr>
            <w:r>
              <w:rPr/>
              <w:t xml:space="preserve">  </w:t>
            </w:r>
          </w:p>
        </w:tc>
        <w:tc>
          <w:tcPr>
            <w:tcW w:w="91" w:type="dxa"/>
            <w:tcBorders/>
            <w:vAlign w:val="center"/>
          </w:tcPr>
          <w:p>
            <w:pPr>
              <w:pStyle w:val="TableContents"/>
              <w:bidi w:val="0"/>
              <w:spacing w:before="0" w:after="283"/>
              <w:jc w:val="left"/>
              <w:rPr/>
            </w:pPr>
            <w:r>
              <w:rPr/>
              <w:t xml:space="preserve">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Transaction</w:t>
              <w:br/>
              <w:t xml:space="preserve">Adjustments </w:t>
            </w:r>
          </w:p>
        </w:tc>
        <w:tc>
          <w:tcPr>
            <w:tcW w:w="103" w:type="dxa"/>
            <w:tcBorders/>
            <w:vAlign w:val="center"/>
          </w:tcPr>
          <w:p>
            <w:pPr>
              <w:pStyle w:val="TableContents"/>
              <w:bidi w:val="0"/>
              <w:spacing w:before="0" w:after="283"/>
              <w:jc w:val="left"/>
              <w:rPr/>
            </w:pPr>
            <w:r>
              <w:rPr/>
              <w:t xml:space="preserve">  </w:t>
            </w:r>
          </w:p>
        </w:tc>
        <w:tc>
          <w:tcPr>
            <w:tcW w:w="263" w:type="dxa"/>
            <w:tcBorders/>
            <w:vAlign w:val="center"/>
          </w:tcPr>
          <w:p>
            <w:pPr>
              <w:pStyle w:val="TableContents"/>
              <w:bidi w:val="0"/>
              <w:spacing w:before="0" w:after="283"/>
              <w:jc w:val="center"/>
              <w:rPr>
                <w:b/>
                <w:sz w:val="20"/>
              </w:rPr>
            </w:pPr>
            <w:r>
              <w:rPr>
                <w:b/>
                <w:sz w:val="20"/>
              </w:rPr>
              <w:t xml:space="preserve">{a} </w:t>
            </w:r>
          </w:p>
        </w:tc>
        <w:tc>
          <w:tcPr>
            <w:tcW w:w="91" w:type="dxa"/>
            <w:tcBorders/>
            <w:vAlign w:val="center"/>
          </w:tcPr>
          <w:p>
            <w:pPr>
              <w:pStyle w:val="TableContents"/>
              <w:bidi w:val="0"/>
              <w:spacing w:before="0" w:after="283"/>
              <w:jc w:val="left"/>
              <w:rPr/>
            </w:pPr>
            <w:r>
              <w:rPr/>
              <w:t xml:space="preserve">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Pro Forma </w:t>
            </w:r>
          </w:p>
        </w:tc>
        <w:tc>
          <w:tcPr>
            <w:tcW w:w="103" w:type="dxa"/>
            <w:tcBorders/>
            <w:vAlign w:val="center"/>
          </w:tcPr>
          <w:p>
            <w:pPr>
              <w:pStyle w:val="TableContents"/>
              <w:bidi w:val="0"/>
              <w:spacing w:before="0" w:after="283"/>
              <w:jc w:val="left"/>
              <w:rPr/>
            </w:pPr>
            <w:r>
              <w:rPr/>
              <w:t xml:space="preserve">  </w:t>
            </w:r>
          </w:p>
        </w:tc>
        <w:tc>
          <w:tcPr>
            <w:tcW w:w="91" w:type="dxa"/>
            <w:tcBorders/>
            <w:vAlign w:val="center"/>
          </w:tcPr>
          <w:p>
            <w:pPr>
              <w:pStyle w:val="TableContents"/>
              <w:bidi w:val="0"/>
              <w:spacing w:before="0" w:after="283"/>
              <w:jc w:val="left"/>
              <w:rPr/>
            </w:pPr>
            <w:r>
              <w:rPr/>
              <w:t xml:space="preserve">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Autonomous</w:t>
              <w:br/>
              <w:t>Entity</w:t>
              <w:br/>
              <w:t xml:space="preserve">Adjustments </w:t>
            </w:r>
          </w:p>
        </w:tc>
        <w:tc>
          <w:tcPr>
            <w:tcW w:w="148" w:type="dxa"/>
            <w:tcBorders/>
            <w:vAlign w:val="center"/>
          </w:tcPr>
          <w:p>
            <w:pPr>
              <w:pStyle w:val="TableContents"/>
              <w:bidi w:val="0"/>
              <w:spacing w:before="0" w:after="283"/>
              <w:jc w:val="left"/>
              <w:rPr/>
            </w:pPr>
            <w:r>
              <w:rPr/>
              <w:t xml:space="preserve">  </w:t>
            </w:r>
          </w:p>
        </w:tc>
        <w:tc>
          <w:tcPr>
            <w:tcW w:w="218" w:type="dxa"/>
            <w:tcBorders/>
            <w:vAlign w:val="center"/>
          </w:tcPr>
          <w:p>
            <w:pPr>
              <w:pStyle w:val="TableContents"/>
              <w:bidi w:val="0"/>
              <w:spacing w:before="0" w:after="283"/>
              <w:jc w:val="left"/>
              <w:rPr/>
            </w:pPr>
            <w:r>
              <w:rPr/>
              <w:t xml:space="preserve">  </w:t>
            </w:r>
          </w:p>
        </w:tc>
        <w:tc>
          <w:tcPr>
            <w:tcW w:w="91" w:type="dxa"/>
            <w:tcBorders/>
            <w:vAlign w:val="center"/>
          </w:tcPr>
          <w:p>
            <w:pPr>
              <w:pStyle w:val="TableContents"/>
              <w:bidi w:val="0"/>
              <w:spacing w:before="0" w:after="283"/>
              <w:jc w:val="left"/>
              <w:rPr/>
            </w:pPr>
            <w:r>
              <w:rPr/>
              <w:t xml:space="preserve">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br/>
              <w:t xml:space="preserve">Standalone </w:t>
            </w:r>
          </w:p>
        </w:tc>
        <w:tc>
          <w:tcPr>
            <w:tcW w:w="177" w:type="dxa"/>
            <w:tcBorders/>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Revenue, net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Services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sz w:val="20"/>
              </w:rPr>
            </w:pPr>
            <w:r>
              <w:rPr>
                <w:sz w:val="20"/>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26,268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sz w:val="20"/>
              </w:rPr>
            </w:pPr>
            <w:r>
              <w:rPr>
                <w:sz w:val="20"/>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(22,771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sz w:val="20"/>
              </w:rPr>
            </w:pPr>
            <w:r>
              <w:rPr>
                <w:sz w:val="20"/>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3,497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sz w:val="20"/>
              </w:rPr>
            </w:pPr>
            <w:r>
              <w:rPr>
                <w:sz w:val="20"/>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sz w:val="20"/>
              </w:rPr>
            </w:pPr>
            <w:r>
              <w:rPr>
                <w:sz w:val="20"/>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3,497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Products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2,942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(2,856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86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86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b/>
                <w:sz w:val="20"/>
              </w:rPr>
            </w:pPr>
            <w:r>
              <w:rPr>
                <w:b/>
                <w:sz w:val="20"/>
              </w:rPr>
              <w:t xml:space="preserve">Total revenue, net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29,210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(25,627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3,583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3,583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pPr>
            <w:r>
              <w:rPr/>
              <w:t xml:space="preserve">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b/>
                <w:sz w:val="20"/>
              </w:rPr>
            </w:pPr>
            <w:r>
              <w:rPr>
                <w:b/>
                <w:sz w:val="20"/>
              </w:rPr>
              <w:t xml:space="preserve">Cost of sales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Labor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15,337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(12,273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3,064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3,064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Occupancy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3,625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(2,449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1,176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1,176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Products and other operating costs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2,742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(2,264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478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478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b/>
                <w:sz w:val="20"/>
              </w:rPr>
            </w:pPr>
            <w:r>
              <w:rPr>
                <w:b/>
                <w:sz w:val="20"/>
              </w:rPr>
              <w:t xml:space="preserve">Total cost of sales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21,704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(16,986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4,718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4,718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Gross Profit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7,506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(8,641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(1,135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(1,135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Depreciation and amortization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862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(475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387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387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Impairment of long-lived assets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3,149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3,149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3,149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Goodwill impairment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1,389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1,389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1,389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Loss on disposal of assets, net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40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(21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19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19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Impairment of operating lease right-of-use assets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1,736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0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1,736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1,736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General and administrative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16,000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(7,846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8,154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right"/>
              <w:rPr>
                <w:b/>
                <w:sz w:val="20"/>
              </w:rPr>
            </w:pPr>
            <w:r>
              <w:rPr>
                <w:b/>
                <w:sz w:val="20"/>
              </w:rPr>
              <w:t xml:space="preserve">{f}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8,654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b/>
                <w:sz w:val="20"/>
              </w:rPr>
            </w:pPr>
            <w:r>
              <w:rPr>
                <w:b/>
                <w:sz w:val="20"/>
              </w:rPr>
              <w:t xml:space="preserve">Total operating expenses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23,176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(8,342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14,834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500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15,334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Operating loss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(15,670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(299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(15,969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(16,469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Change in fair value of derivative liabilities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(80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(80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(80 </w:t>
            </w:r>
          </w:p>
        </w:tc>
        <w:tc>
          <w:tcPr>
            <w:tcW w:w="177" w:type="dxa"/>
            <w:tcBorders/>
            <w:shd w:fill="FFFFFF" w:val="clear"/>
            <w:vAlign w:val="center"/>
          </w:tcPr>
          <w:p>
            <w:pPr>
              <w:pStyle w:val="TableContents"/>
              <w:bidi w:val="0"/>
              <w:spacing w:before="0" w:after="283"/>
              <w:jc w:val="left"/>
              <w:rPr>
                <w:sz w:val="20"/>
              </w:rPr>
            </w:pPr>
            <w:r>
              <w:rPr>
                <w:sz w:val="20"/>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Change in fair value of warrant liability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3,215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3,215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3,215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Loss on issuance of Series G Preferred Stock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(3,443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(3,443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(3,443 </w:t>
            </w:r>
          </w:p>
        </w:tc>
        <w:tc>
          <w:tcPr>
            <w:tcW w:w="177" w:type="dxa"/>
            <w:tcBorders/>
            <w:shd w:fill="FFFFFF" w:val="clear"/>
            <w:vAlign w:val="center"/>
          </w:tcPr>
          <w:p>
            <w:pPr>
              <w:pStyle w:val="TableContents"/>
              <w:bidi w:val="0"/>
              <w:spacing w:before="0" w:after="283"/>
              <w:jc w:val="left"/>
              <w:rPr>
                <w:sz w:val="20"/>
              </w:rPr>
            </w:pPr>
            <w:r>
              <w:rPr>
                <w:sz w:val="20"/>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Interest income, net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661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(600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61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61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Foreign exchange loss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(654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654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Gain on investments, realized and unrealized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61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61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61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Other non-operating expense, net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(167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143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(24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(24 </w:t>
            </w:r>
          </w:p>
        </w:tc>
        <w:tc>
          <w:tcPr>
            <w:tcW w:w="177" w:type="dxa"/>
            <w:tcBorders/>
            <w:shd w:fill="FFFFFF" w:val="clear"/>
            <w:vAlign w:val="center"/>
          </w:tcPr>
          <w:p>
            <w:pPr>
              <w:pStyle w:val="TableContents"/>
              <w:bidi w:val="0"/>
              <w:spacing w:before="0" w:after="283"/>
              <w:jc w:val="left"/>
              <w:rPr>
                <w:sz w:val="20"/>
              </w:rPr>
            </w:pPr>
            <w:r>
              <w:rPr>
                <w:sz w:val="20"/>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Loss before income taxes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(16,077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(102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(16,179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(16,679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Income tax expense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77" w:type="dxa"/>
            <w:tcBorders/>
            <w:shd w:fill="FFFFFF" w:val="clear"/>
            <w:vAlign w:val="center"/>
          </w:tcPr>
          <w:p>
            <w:pPr>
              <w:pStyle w:val="TableContents"/>
              <w:bidi w:val="0"/>
              <w:spacing w:before="0" w:after="283"/>
              <w:jc w:val="left"/>
              <w:rPr>
                <w:sz w:val="4"/>
                <w:szCs w:val="4"/>
              </w:rPr>
            </w:pPr>
            <w:r>
              <w:rPr>
                <w:sz w:val="4"/>
                <w:szCs w:val="4"/>
              </w:rPr>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Net loss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(16,106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(73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(16,179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(16,679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Net loss attributable to noncontrolling interests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(885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885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Net loss attributable to XWELL, Inc.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(16,991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812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(16,179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(16,679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Net loss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(16,106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(73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(16,179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(16,679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Other comprehensive income (loss) from operations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467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467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467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Comprehensive loss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(15,639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(73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(15,712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(16,212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pPr>
            <w:r>
              <w:rPr/>
              <w:t> </w:t>
            </w:r>
            <w:r>
              <w:rPr>
                <w:b/>
                <w:sz w:val="20"/>
              </w:rPr>
              <w:t xml:space="preserve">Loss per share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Preferred stock dividends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(509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(509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(509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Preferred stock accretion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(4,000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(4,000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(4,000 </w:t>
            </w:r>
          </w:p>
        </w:tc>
        <w:tc>
          <w:tcPr>
            <w:tcW w:w="177" w:type="dxa"/>
            <w:tcBorders/>
            <w:shd w:fill="FFFFFF" w:val="clear"/>
            <w:vAlign w:val="center"/>
          </w:tcPr>
          <w:p>
            <w:pPr>
              <w:pStyle w:val="TableContents"/>
              <w:bidi w:val="0"/>
              <w:spacing w:before="0" w:after="283"/>
              <w:jc w:val="left"/>
              <w:rPr>
                <w:sz w:val="20"/>
              </w:rPr>
            </w:pPr>
            <w:r>
              <w:rPr>
                <w:sz w:val="20"/>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Deemed dividend on warrant exchange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(2,334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shd w:fill="CCEEFF" w:val="clear"/>
            <w:vAlign w:val="center"/>
          </w:tcPr>
          <w:p>
            <w:pPr>
              <w:pStyle w:val="TableContents"/>
              <w:bidi w:val="0"/>
              <w:spacing w:before="0" w:after="283"/>
              <w:jc w:val="left"/>
              <w:rPr/>
            </w:pPr>
            <w:r>
              <w:rPr/>
              <w:t xml:space="preserve">  </w:t>
            </w:r>
          </w:p>
        </w:tc>
        <w:tc>
          <w:tcPr>
            <w:tcW w:w="904" w:type="dxa"/>
            <w:tcBorders/>
            <w:shd w:fill="CCEEFF" w:val="cle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(2,334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0" w:type="dxa"/>
            <w:tcBorders/>
            <w:shd w:fill="CCEEFF" w:val="cle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868" w:type="dxa"/>
            <w:tcBorders/>
            <w:shd w:fill="CCEEFF" w:val="clear"/>
            <w:vAlign w:val="center"/>
          </w:tcPr>
          <w:p>
            <w:pPr>
              <w:pStyle w:val="TableContents"/>
              <w:bidi w:val="0"/>
              <w:spacing w:before="0" w:after="283"/>
              <w:jc w:val="right"/>
              <w:rPr>
                <w:sz w:val="20"/>
              </w:rPr>
            </w:pPr>
            <w:r>
              <w:rPr>
                <w:sz w:val="20"/>
              </w:rPr>
              <w:t xml:space="preserve">(2,334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Deemed dividend on Exchange of Series G Preferred Stock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(4,399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(4,399 </w:t>
            </w:r>
          </w:p>
        </w:tc>
        <w:tc>
          <w:tcPr>
            <w:tcW w:w="103" w:type="dxa"/>
            <w:tcBorders/>
            <w:shd w:fill="FFFFFF" w:val="clear"/>
            <w:vAlign w:val="center"/>
          </w:tcPr>
          <w:p>
            <w:pPr>
              <w:pStyle w:val="TableContents"/>
              <w:bidi w:val="0"/>
              <w:spacing w:before="0" w:after="283"/>
              <w:jc w:val="lef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(4,399 </w:t>
            </w:r>
          </w:p>
        </w:tc>
        <w:tc>
          <w:tcPr>
            <w:tcW w:w="177" w:type="dxa"/>
            <w:tcBorders/>
            <w:shd w:fill="FFFFFF" w:val="clear"/>
            <w:vAlign w:val="center"/>
          </w:tcPr>
          <w:p>
            <w:pPr>
              <w:pStyle w:val="TableContents"/>
              <w:bidi w:val="0"/>
              <w:spacing w:before="0" w:after="283"/>
              <w:jc w:val="left"/>
              <w:rPr>
                <w:sz w:val="20"/>
              </w:rPr>
            </w:pPr>
            <w:r>
              <w:rPr>
                <w:sz w:val="20"/>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Net loss attributable to XWELL, Inc. common stockholders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(28,233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812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(27,421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(27,921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b/>
                <w:sz w:val="20"/>
              </w:rPr>
            </w:pPr>
            <w:r>
              <w:rPr>
                <w:b/>
                <w:sz w:val="20"/>
              </w:rPr>
              <w:t xml:space="preserve">Basic and diluted loss per share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(5.08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0.15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(4.93 </w:t>
            </w:r>
          </w:p>
        </w:tc>
        <w:tc>
          <w:tcPr>
            <w:tcW w:w="103" w:type="dxa"/>
            <w:tcBorders/>
            <w:shd w:fill="CCEEFF" w:val="clear"/>
            <w:vAlign w:val="center"/>
          </w:tcPr>
          <w:p>
            <w:pPr>
              <w:pStyle w:val="TableContents"/>
              <w:bidi w:val="0"/>
              <w:spacing w:before="0" w:after="283"/>
              <w:jc w:val="left"/>
              <w:rPr>
                <w:sz w:val="20"/>
              </w:rPr>
            </w:pPr>
            <w:r>
              <w:rPr>
                <w:sz w:val="20"/>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(0.09 </w:t>
            </w:r>
          </w:p>
        </w:tc>
        <w:tc>
          <w:tcPr>
            <w:tcW w:w="148" w:type="dxa"/>
            <w:tcBorders/>
            <w:shd w:fill="CCEEFF" w:val="clear"/>
            <w:vAlign w:val="center"/>
          </w:tcPr>
          <w:p>
            <w:pPr>
              <w:pStyle w:val="TableContents"/>
              <w:bidi w:val="0"/>
              <w:spacing w:before="0" w:after="283"/>
              <w:jc w:val="left"/>
              <w:rPr>
                <w:sz w:val="20"/>
              </w:rPr>
            </w:pPr>
            <w:r>
              <w:rPr>
                <w:sz w:val="20"/>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(5.02 </w:t>
            </w:r>
          </w:p>
        </w:tc>
        <w:tc>
          <w:tcPr>
            <w:tcW w:w="177" w:type="dxa"/>
            <w:tcBorders/>
            <w:shd w:fill="CCEEFF" w:val="clear"/>
            <w:vAlign w:val="center"/>
          </w:tcPr>
          <w:p>
            <w:pPr>
              <w:pStyle w:val="TableContents"/>
              <w:bidi w:val="0"/>
              <w:spacing w:before="0" w:after="283"/>
              <w:jc w:val="left"/>
              <w:rPr>
                <w:sz w:val="20"/>
              </w:rPr>
            </w:pPr>
            <w:r>
              <w:rPr>
                <w:sz w:val="20"/>
              </w:rPr>
              <w:t xml:space="preserve">)  </w:t>
            </w:r>
          </w:p>
        </w:tc>
      </w:tr>
      <w:tr>
        <w:trPr/>
        <w:tc>
          <w:tcPr>
            <w:tcW w:w="3419" w:type="dxa"/>
            <w:tcBorders/>
            <w:shd w:fill="FFFFFF" w:val="clear"/>
            <w:vAlign w:val="center"/>
          </w:tcPr>
          <w:p>
            <w:pPr>
              <w:pStyle w:val="TableContents"/>
              <w:bidi w:val="0"/>
              <w:spacing w:before="0" w:after="283"/>
              <w:jc w:val="left"/>
              <w:rPr>
                <w:b/>
                <w:sz w:val="20"/>
              </w:rPr>
            </w:pPr>
            <w:r>
              <w:rPr>
                <w:b/>
                <w:sz w:val="20"/>
              </w:rPr>
              <w:t xml:space="preserve">Weighted-average number of shares outstanding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shd w:fill="FFFFFF" w:val="clear"/>
            <w:vAlign w:val="center"/>
          </w:tcPr>
          <w:p>
            <w:pPr>
              <w:pStyle w:val="TableContents"/>
              <w:bidi w:val="0"/>
              <w:spacing w:before="0" w:after="283"/>
              <w:jc w:val="left"/>
              <w:rPr/>
            </w:pPr>
            <w:r>
              <w:rPr/>
              <w:t xml:space="preserve">  </w:t>
            </w:r>
          </w:p>
        </w:tc>
        <w:tc>
          <w:tcPr>
            <w:tcW w:w="904"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pPr>
            <w:r>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0" w:type="dxa"/>
            <w:tcBorders/>
            <w:shd w:fill="FFFFFF" w:val="cle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868" w:type="dxa"/>
            <w:tcBorders/>
            <w:shd w:fill="FFFFFF" w:val="clear"/>
            <w:vAlign w:val="center"/>
          </w:tcPr>
          <w:p>
            <w:pPr>
              <w:pStyle w:val="TableContents"/>
              <w:bidi w:val="0"/>
              <w:spacing w:before="0" w:after="283"/>
              <w:jc w:val="right"/>
              <w:rPr>
                <w:sz w:val="20"/>
              </w:rPr>
            </w:pPr>
            <w:r>
              <w:rPr>
                <w:sz w:val="20"/>
              </w:rPr>
              <w:t xml:space="preserve">- </w:t>
            </w:r>
          </w:p>
        </w:tc>
        <w:tc>
          <w:tcPr>
            <w:tcW w:w="177" w:type="dxa"/>
            <w:tcBorders/>
            <w:shd w:fill="FFFFFF" w:val="clear"/>
            <w:vAlign w:val="center"/>
          </w:tcPr>
          <w:p>
            <w:pPr>
              <w:pStyle w:val="TableContents"/>
              <w:bidi w:val="0"/>
              <w:spacing w:before="0" w:after="283"/>
              <w:jc w:val="left"/>
              <w:rPr/>
            </w:pPr>
            <w:r>
              <w:rPr/>
              <w:t xml:space="preserve">  </w:t>
            </w:r>
          </w:p>
        </w:tc>
      </w:tr>
      <w:tr>
        <w:trPr/>
        <w:tc>
          <w:tcPr>
            <w:tcW w:w="3419" w:type="dxa"/>
            <w:tcBorders/>
            <w:shd w:fill="CCEEFF" w:val="clear"/>
            <w:vAlign w:val="center"/>
          </w:tcPr>
          <w:p>
            <w:pPr>
              <w:pStyle w:val="TableContents"/>
              <w:bidi w:val="0"/>
              <w:spacing w:before="0" w:after="283"/>
              <w:jc w:val="left"/>
              <w:rPr>
                <w:sz w:val="20"/>
              </w:rPr>
            </w:pPr>
            <w:r>
              <w:rPr>
                <w:sz w:val="20"/>
              </w:rPr>
              <w:t xml:space="preserve">Basic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5,560,015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5,560,015 </w:t>
            </w:r>
          </w:p>
        </w:tc>
        <w:tc>
          <w:tcPr>
            <w:tcW w:w="103"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91" w:type="dxa"/>
            <w:tcBorders/>
            <w:shd w:fill="CCEE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5,560,015 </w:t>
            </w:r>
          </w:p>
        </w:tc>
        <w:tc>
          <w:tcPr>
            <w:tcW w:w="177" w:type="dxa"/>
            <w:tcBorders/>
            <w:shd w:fill="CCEEFF" w:val="clear"/>
            <w:vAlign w:val="center"/>
          </w:tcPr>
          <w:p>
            <w:pPr>
              <w:pStyle w:val="TableContents"/>
              <w:bidi w:val="0"/>
              <w:spacing w:before="0" w:after="283"/>
              <w:jc w:val="left"/>
              <w:rPr/>
            </w:pPr>
            <w:r>
              <w:rPr/>
              <w:t xml:space="preserve">  </w:t>
            </w:r>
          </w:p>
        </w:tc>
      </w:tr>
      <w:tr>
        <w:trPr/>
        <w:tc>
          <w:tcPr>
            <w:tcW w:w="3419" w:type="dxa"/>
            <w:tcBorders/>
            <w:shd w:fill="FFFFFF" w:val="clear"/>
            <w:vAlign w:val="center"/>
          </w:tcPr>
          <w:p>
            <w:pPr>
              <w:pStyle w:val="TableContents"/>
              <w:bidi w:val="0"/>
              <w:spacing w:before="0" w:after="283"/>
              <w:jc w:val="left"/>
              <w:rPr>
                <w:sz w:val="20"/>
              </w:rPr>
            </w:pPr>
            <w:r>
              <w:rPr>
                <w:sz w:val="20"/>
              </w:rPr>
              <w:t xml:space="preserve">Diluted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5,560,015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3"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5,560,015 </w:t>
            </w:r>
          </w:p>
        </w:tc>
        <w:tc>
          <w:tcPr>
            <w:tcW w:w="103"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48"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91" w:type="dxa"/>
            <w:tcBorders/>
            <w:shd w:fill="FFFFFF" w:val="clear"/>
            <w:vAlign w:val="center"/>
          </w:tcPr>
          <w:p>
            <w:pPr>
              <w:pStyle w:val="TableContents"/>
              <w:bidi w:val="0"/>
              <w:spacing w:before="0" w:after="283"/>
              <w:jc w:val="left"/>
              <w:rPr/>
            </w:pPr>
            <w:r>
              <w:rPr/>
              <w:t xml:space="preserve">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5,560,015 </w:t>
            </w:r>
          </w:p>
        </w:tc>
        <w:tc>
          <w:tcPr>
            <w:tcW w:w="177"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YEAR ENDED DECEMBER 31, 2024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95"/>
        <w:gridCol w:w="98"/>
        <w:gridCol w:w="153"/>
        <w:gridCol w:w="873"/>
        <w:gridCol w:w="108"/>
        <w:gridCol w:w="98"/>
        <w:gridCol w:w="174"/>
        <w:gridCol w:w="908"/>
        <w:gridCol w:w="108"/>
        <w:gridCol w:w="276"/>
        <w:gridCol w:w="98"/>
        <w:gridCol w:w="153"/>
        <w:gridCol w:w="873"/>
        <w:gridCol w:w="108"/>
        <w:gridCol w:w="98"/>
        <w:gridCol w:w="241"/>
        <w:gridCol w:w="852"/>
        <w:gridCol w:w="153"/>
        <w:gridCol w:w="231"/>
        <w:gridCol w:w="98"/>
        <w:gridCol w:w="153"/>
        <w:gridCol w:w="873"/>
        <w:gridCol w:w="183"/>
      </w:tblGrid>
      <w:tr>
        <w:trPr/>
        <w:tc>
          <w:tcPr>
            <w:tcW w:w="3295"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Historical </w:t>
            </w:r>
          </w:p>
        </w:tc>
        <w:tc>
          <w:tcPr>
            <w:tcW w:w="108"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08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Transaction</w:t>
              <w:br/>
              <w:t xml:space="preserve">Adjustments </w:t>
            </w:r>
          </w:p>
        </w:tc>
        <w:tc>
          <w:tcPr>
            <w:tcW w:w="108" w:type="dxa"/>
            <w:tcBorders/>
            <w:vAlign w:val="center"/>
          </w:tcPr>
          <w:p>
            <w:pPr>
              <w:pStyle w:val="TableContents"/>
              <w:bidi w:val="0"/>
              <w:spacing w:before="0" w:after="283"/>
              <w:jc w:val="left"/>
              <w:rPr/>
            </w:pPr>
            <w:r>
              <w:rPr/>
              <w:t xml:space="preserve">  </w:t>
            </w:r>
          </w:p>
        </w:tc>
        <w:tc>
          <w:tcPr>
            <w:tcW w:w="276" w:type="dxa"/>
            <w:tcBorders/>
            <w:vAlign w:val="center"/>
          </w:tcPr>
          <w:p>
            <w:pPr>
              <w:pStyle w:val="TableContents"/>
              <w:bidi w:val="0"/>
              <w:spacing w:before="0" w:after="283"/>
              <w:jc w:val="center"/>
              <w:rPr>
                <w:b/>
                <w:sz w:val="20"/>
              </w:rPr>
            </w:pPr>
            <w:r>
              <w:rPr>
                <w:b/>
                <w:sz w:val="20"/>
              </w:rPr>
              <w:t xml:space="preserve">{a} </w:t>
            </w:r>
          </w:p>
        </w:tc>
        <w:tc>
          <w:tcPr>
            <w:tcW w:w="98" w:type="dxa"/>
            <w:tcBorders/>
            <w:vAlign w:val="center"/>
          </w:tcPr>
          <w:p>
            <w:pPr>
              <w:pStyle w:val="TableContents"/>
              <w:bidi w:val="0"/>
              <w:spacing w:before="0" w:after="283"/>
              <w:jc w:val="left"/>
              <w:rPr/>
            </w:pPr>
            <w:r>
              <w:rPr/>
              <w:t xml:space="preserve">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Pro Forma </w:t>
            </w:r>
          </w:p>
        </w:tc>
        <w:tc>
          <w:tcPr>
            <w:tcW w:w="108"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Autonomous</w:t>
              <w:br/>
              <w:t>Entity</w:t>
              <w:br/>
              <w:t xml:space="preserve">Adjustments </w:t>
            </w:r>
          </w:p>
        </w:tc>
        <w:tc>
          <w:tcPr>
            <w:tcW w:w="153" w:type="dxa"/>
            <w:tcBorders/>
            <w:vAlign w:val="center"/>
          </w:tcPr>
          <w:p>
            <w:pPr>
              <w:pStyle w:val="TableContents"/>
              <w:bidi w:val="0"/>
              <w:spacing w:before="0" w:after="283"/>
              <w:jc w:val="left"/>
              <w:rPr/>
            </w:pPr>
            <w:r>
              <w:rPr/>
              <w:t xml:space="preserve">  </w:t>
            </w:r>
          </w:p>
        </w:tc>
        <w:tc>
          <w:tcPr>
            <w:tcW w:w="231"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br/>
              <w:t xml:space="preserve">Standalone </w:t>
            </w:r>
          </w:p>
        </w:tc>
        <w:tc>
          <w:tcPr>
            <w:tcW w:w="183" w:type="dxa"/>
            <w:tcBorders/>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Revenue, net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Services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sz w:val="20"/>
              </w:rPr>
            </w:pPr>
            <w:r>
              <w:rPr>
                <w:sz w:val="20"/>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30,660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sz w:val="20"/>
              </w:rPr>
            </w:pPr>
            <w:r>
              <w:rPr>
                <w:sz w:val="20"/>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(26,723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sz w:val="20"/>
              </w:rPr>
            </w:pPr>
            <w:r>
              <w:rPr>
                <w:sz w:val="20"/>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3,937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sz w:val="20"/>
              </w:rPr>
            </w:pPr>
            <w:r>
              <w:rPr>
                <w:sz w:val="20"/>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sz w:val="20"/>
              </w:rPr>
            </w:pPr>
            <w:r>
              <w:rPr>
                <w:sz w:val="20"/>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3,937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Products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3,237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(3,164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73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73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Total revenue, net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33,897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(29,887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4,010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4,010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Cost of sales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Labor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17,477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(14,595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2,882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2,882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Occupancy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3,712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(3,424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288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288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Products and other operating costs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3,789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(3,162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627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627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Total cost of sales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24,978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(21,181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3,797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3,797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Gross Profit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8,919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(8,706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213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213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Depreciation and amortization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938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(776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162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162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Impairment of long-lived assets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1,711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(403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1,308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1,308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Loss on disposal of assets, net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90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(90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Impairment of operating lease right-of-use assets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2,805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(2,805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pPr>
            <w:r>
              <w:rPr/>
              <w:t xml:space="preserve">—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General and administrative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20,082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(12,324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7,758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500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right"/>
              <w:rPr>
                <w:b/>
                <w:sz w:val="20"/>
              </w:rPr>
            </w:pPr>
            <w:r>
              <w:rPr>
                <w:b/>
                <w:sz w:val="20"/>
              </w:rPr>
              <w:t xml:space="preserve">{f}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8,258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Total operating expenses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25,626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(16,398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9,228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9,728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Operating loss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(16,707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7,692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(9,015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(500 </w:t>
            </w:r>
          </w:p>
        </w:tc>
        <w:tc>
          <w:tcPr>
            <w:tcW w:w="153" w:type="dxa"/>
            <w:tcBorders/>
            <w:shd w:fill="FFFFFF" w:val="clear"/>
            <w:vAlign w:val="center"/>
          </w:tcPr>
          <w:p>
            <w:pPr>
              <w:pStyle w:val="TableContents"/>
              <w:bidi w:val="0"/>
              <w:spacing w:before="0" w:after="283"/>
              <w:jc w:val="left"/>
              <w:rPr>
                <w:sz w:val="20"/>
              </w:rPr>
            </w:pPr>
            <w:r>
              <w:rPr>
                <w:sz w:val="20"/>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(9,515 </w:t>
            </w:r>
          </w:p>
        </w:tc>
        <w:tc>
          <w:tcPr>
            <w:tcW w:w="183" w:type="dxa"/>
            <w:tcBorders/>
            <w:shd w:fill="FFFFFF" w:val="clear"/>
            <w:vAlign w:val="center"/>
          </w:tcPr>
          <w:p>
            <w:pPr>
              <w:pStyle w:val="TableContents"/>
              <w:bidi w:val="0"/>
              <w:spacing w:before="0" w:after="283"/>
              <w:jc w:val="left"/>
              <w:rPr>
                <w:sz w:val="20"/>
              </w:rPr>
            </w:pPr>
            <w:r>
              <w:rPr>
                <w:sz w:val="20"/>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Interest income, net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380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(28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352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352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Foreign exchange gain (loss)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(259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sz w:val="20"/>
              </w:rPr>
            </w:pPr>
            <w:r>
              <w:rPr>
                <w:sz w:val="20"/>
              </w:rPr>
              <w:t xml:space="preserve">259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sz w:val="20"/>
              </w:rPr>
            </w:pPr>
            <w:r>
              <w:rPr>
                <w:sz w:val="20"/>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Gain on investments, realized and unrealized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356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356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356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Other non-operating expense, net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(211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143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(68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(68 </w:t>
            </w:r>
          </w:p>
        </w:tc>
        <w:tc>
          <w:tcPr>
            <w:tcW w:w="183" w:type="dxa"/>
            <w:tcBorders/>
            <w:shd w:fill="FFFFFF" w:val="clear"/>
            <w:vAlign w:val="center"/>
          </w:tcPr>
          <w:p>
            <w:pPr>
              <w:pStyle w:val="TableContents"/>
              <w:bidi w:val="0"/>
              <w:spacing w:before="0" w:after="283"/>
              <w:jc w:val="left"/>
              <w:rPr>
                <w:sz w:val="20"/>
              </w:rPr>
            </w:pPr>
            <w:r>
              <w:rPr>
                <w:sz w:val="20"/>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Loss before income taxes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(16,441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8,066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(8,375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(8,875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Income tax expense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(49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49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Net loss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(16,490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8,115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(8,375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(8,875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Net loss attributable to noncontrolling interests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(363 </w:t>
            </w:r>
          </w:p>
        </w:tc>
        <w:tc>
          <w:tcPr>
            <w:tcW w:w="108" w:type="dxa"/>
            <w:tcBorders/>
            <w:shd w:fill="FFFFFF" w:val="clear"/>
            <w:vAlign w:val="center"/>
          </w:tcPr>
          <w:p>
            <w:pPr>
              <w:pStyle w:val="TableContents"/>
              <w:bidi w:val="0"/>
              <w:spacing w:before="0" w:after="283"/>
              <w:jc w:val="left"/>
              <w:rPr>
                <w:sz w:val="20"/>
              </w:rPr>
            </w:pPr>
            <w:r>
              <w:rPr>
                <w:sz w:val="20"/>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363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Net loss attributable to XWELL, Inc.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(16,853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8,478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(8,375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(8,875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Net loss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(16,490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908" w:type="dxa"/>
            <w:tcBorders/>
            <w:shd w:fill="CCEEFF" w:val="clear"/>
            <w:vAlign w:val="center"/>
          </w:tcPr>
          <w:p>
            <w:pPr>
              <w:pStyle w:val="TableContents"/>
              <w:bidi w:val="0"/>
              <w:spacing w:before="0" w:after="283"/>
              <w:jc w:val="right"/>
              <w:rPr>
                <w:sz w:val="20"/>
              </w:rPr>
            </w:pPr>
            <w:r>
              <w:rPr>
                <w:sz w:val="20"/>
              </w:rPr>
              <w:t xml:space="preserve">8,115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(8,375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shd w:fill="CCEEFF" w:val="clear"/>
            <w:vAlign w:val="center"/>
          </w:tcPr>
          <w:p>
            <w:pPr>
              <w:pStyle w:val="TableContents"/>
              <w:bidi w:val="0"/>
              <w:spacing w:before="0" w:after="283"/>
              <w:jc w:val="left"/>
              <w:rPr/>
            </w:pPr>
            <w:r>
              <w:rPr/>
              <w:t xml:space="preserve">  </w:t>
            </w:r>
          </w:p>
        </w:tc>
        <w:tc>
          <w:tcPr>
            <w:tcW w:w="852" w:type="dxa"/>
            <w:tcBorders/>
            <w:shd w:fill="CCEEFF" w:val="cle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873" w:type="dxa"/>
            <w:tcBorders/>
            <w:shd w:fill="CCEEFF" w:val="clear"/>
            <w:vAlign w:val="center"/>
          </w:tcPr>
          <w:p>
            <w:pPr>
              <w:pStyle w:val="TableContents"/>
              <w:bidi w:val="0"/>
              <w:spacing w:before="0" w:after="283"/>
              <w:jc w:val="right"/>
              <w:rPr>
                <w:sz w:val="20"/>
              </w:rPr>
            </w:pPr>
            <w:r>
              <w:rPr>
                <w:sz w:val="20"/>
              </w:rPr>
              <w:t xml:space="preserve">(8,875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Other comprehensive income (loss) from operations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69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69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69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Comprehensive loss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(16,421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8,115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(8,306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(500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(8,806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Loss per share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b/>
                <w:sz w:val="20"/>
              </w:rPr>
            </w:pPr>
            <w:r>
              <w:rPr>
                <w:b/>
                <w:sz w:val="20"/>
              </w:rPr>
              <w:t xml:space="preserve">Basic and diluted loss per share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(3.66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1.84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(1.82 </w:t>
            </w:r>
          </w:p>
        </w:tc>
        <w:tc>
          <w:tcPr>
            <w:tcW w:w="108" w:type="dxa"/>
            <w:tcBorders/>
            <w:shd w:fill="CCEEFF" w:val="clear"/>
            <w:vAlign w:val="center"/>
          </w:tcPr>
          <w:p>
            <w:pPr>
              <w:pStyle w:val="TableContents"/>
              <w:bidi w:val="0"/>
              <w:spacing w:before="0" w:after="283"/>
              <w:jc w:val="left"/>
              <w:rPr>
                <w:sz w:val="20"/>
              </w:rPr>
            </w:pPr>
            <w:r>
              <w:rPr>
                <w:sz w:val="20"/>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(0.10 </w:t>
            </w:r>
          </w:p>
        </w:tc>
        <w:tc>
          <w:tcPr>
            <w:tcW w:w="153" w:type="dxa"/>
            <w:tcBorders/>
            <w:shd w:fill="CCEEFF" w:val="clear"/>
            <w:vAlign w:val="center"/>
          </w:tcPr>
          <w:p>
            <w:pPr>
              <w:pStyle w:val="TableContents"/>
              <w:bidi w:val="0"/>
              <w:spacing w:before="0" w:after="283"/>
              <w:jc w:val="left"/>
              <w:rPr>
                <w:sz w:val="20"/>
              </w:rPr>
            </w:pPr>
            <w:r>
              <w:rPr>
                <w:sz w:val="20"/>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(1.92 </w:t>
            </w:r>
          </w:p>
        </w:tc>
        <w:tc>
          <w:tcPr>
            <w:tcW w:w="183" w:type="dxa"/>
            <w:tcBorders/>
            <w:shd w:fill="CCEEFF" w:val="clear"/>
            <w:vAlign w:val="center"/>
          </w:tcPr>
          <w:p>
            <w:pPr>
              <w:pStyle w:val="TableContents"/>
              <w:bidi w:val="0"/>
              <w:spacing w:before="0" w:after="283"/>
              <w:jc w:val="left"/>
              <w:rPr>
                <w:sz w:val="20"/>
              </w:rPr>
            </w:pPr>
            <w:r>
              <w:rPr>
                <w:sz w:val="20"/>
              </w:rPr>
              <w:t xml:space="preserve">)  </w:t>
            </w:r>
          </w:p>
        </w:tc>
      </w:tr>
      <w:tr>
        <w:trPr/>
        <w:tc>
          <w:tcPr>
            <w:tcW w:w="3295" w:type="dxa"/>
            <w:tcBorders/>
            <w:shd w:fill="FFFFFF" w:val="clear"/>
            <w:vAlign w:val="center"/>
          </w:tcPr>
          <w:p>
            <w:pPr>
              <w:pStyle w:val="TableContents"/>
              <w:bidi w:val="0"/>
              <w:spacing w:before="0" w:after="283"/>
              <w:jc w:val="left"/>
              <w:rPr>
                <w:b/>
                <w:sz w:val="20"/>
              </w:rPr>
            </w:pPr>
            <w:r>
              <w:rPr>
                <w:b/>
                <w:sz w:val="20"/>
              </w:rPr>
              <w:t xml:space="preserve">Weighted-average number of shares outstanding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908"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shd w:fill="FFFFFF" w:val="clear"/>
            <w:vAlign w:val="center"/>
          </w:tcPr>
          <w:p>
            <w:pPr>
              <w:pStyle w:val="TableContents"/>
              <w:bidi w:val="0"/>
              <w:spacing w:before="0" w:after="283"/>
              <w:jc w:val="left"/>
              <w:rPr/>
            </w:pPr>
            <w:r>
              <w:rPr/>
              <w:t xml:space="preserve">  </w:t>
            </w:r>
          </w:p>
        </w:tc>
        <w:tc>
          <w:tcPr>
            <w:tcW w:w="852"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873" w:type="dxa"/>
            <w:tcBorders/>
            <w:shd w:fill="FFFFFF" w:val="clear"/>
            <w:vAlign w:val="center"/>
          </w:tcPr>
          <w:p>
            <w:pPr>
              <w:pStyle w:val="TableContents"/>
              <w:bidi w:val="0"/>
              <w:spacing w:before="0" w:after="283"/>
              <w:jc w:val="right"/>
              <w:rPr/>
            </w:pPr>
            <w:r>
              <w:rPr/>
              <w:t xml:space="preserve">  </w:t>
            </w:r>
          </w:p>
        </w:tc>
        <w:tc>
          <w:tcPr>
            <w:tcW w:w="183" w:type="dxa"/>
            <w:tcBorders/>
            <w:shd w:fill="FFFFFF" w:val="clear"/>
            <w:vAlign w:val="center"/>
          </w:tcPr>
          <w:p>
            <w:pPr>
              <w:pStyle w:val="TableContents"/>
              <w:bidi w:val="0"/>
              <w:spacing w:before="0" w:after="283"/>
              <w:jc w:val="left"/>
              <w:rPr/>
            </w:pPr>
            <w:r>
              <w:rPr/>
              <w:t xml:space="preserve">  </w:t>
            </w:r>
          </w:p>
        </w:tc>
      </w:tr>
      <w:tr>
        <w:trPr/>
        <w:tc>
          <w:tcPr>
            <w:tcW w:w="3295" w:type="dxa"/>
            <w:tcBorders/>
            <w:shd w:fill="CCEEFF" w:val="clear"/>
            <w:vAlign w:val="center"/>
          </w:tcPr>
          <w:p>
            <w:pPr>
              <w:pStyle w:val="TableContents"/>
              <w:bidi w:val="0"/>
              <w:spacing w:before="0" w:after="283"/>
              <w:jc w:val="left"/>
              <w:rPr>
                <w:sz w:val="20"/>
              </w:rPr>
            </w:pPr>
            <w:r>
              <w:rPr>
                <w:sz w:val="20"/>
              </w:rPr>
              <w:t xml:space="preserve">Basic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4,610,940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76"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4,610,940 </w:t>
            </w:r>
          </w:p>
        </w:tc>
        <w:tc>
          <w:tcPr>
            <w:tcW w:w="108"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CCEEFF" w:val="clear"/>
            <w:vAlign w:val="center"/>
          </w:tcPr>
          <w:p>
            <w:pPr>
              <w:pStyle w:val="TableContents"/>
              <w:bidi w:val="0"/>
              <w:spacing w:before="0" w:after="283"/>
              <w:jc w:val="left"/>
              <w:rPr/>
            </w:pPr>
            <w:r>
              <w:rPr/>
              <w:t xml:space="preserve">  </w:t>
            </w:r>
          </w:p>
        </w:tc>
        <w:tc>
          <w:tcPr>
            <w:tcW w:w="231"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4,610,940 </w:t>
            </w:r>
          </w:p>
        </w:tc>
        <w:tc>
          <w:tcPr>
            <w:tcW w:w="183" w:type="dxa"/>
            <w:tcBorders/>
            <w:shd w:fill="CCEEFF" w:val="clear"/>
            <w:vAlign w:val="center"/>
          </w:tcPr>
          <w:p>
            <w:pPr>
              <w:pStyle w:val="TableContents"/>
              <w:bidi w:val="0"/>
              <w:spacing w:before="0" w:after="283"/>
              <w:jc w:val="left"/>
              <w:rPr/>
            </w:pPr>
            <w:r>
              <w:rPr/>
              <w:t xml:space="preserve">  </w:t>
            </w:r>
          </w:p>
        </w:tc>
      </w:tr>
      <w:tr>
        <w:trPr/>
        <w:tc>
          <w:tcPr>
            <w:tcW w:w="3295" w:type="dxa"/>
            <w:tcBorders/>
            <w:shd w:fill="FFFFFF" w:val="clear"/>
            <w:vAlign w:val="center"/>
          </w:tcPr>
          <w:p>
            <w:pPr>
              <w:pStyle w:val="TableContents"/>
              <w:bidi w:val="0"/>
              <w:spacing w:before="0" w:after="283"/>
              <w:jc w:val="left"/>
              <w:rPr>
                <w:sz w:val="20"/>
              </w:rPr>
            </w:pPr>
            <w:r>
              <w:rPr>
                <w:sz w:val="20"/>
              </w:rPr>
              <w:t xml:space="preserve">Diluted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4,610,940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76"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4,610,940 </w:t>
            </w:r>
          </w:p>
        </w:tc>
        <w:tc>
          <w:tcPr>
            <w:tcW w:w="108"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153" w:type="dxa"/>
            <w:tcBorders/>
            <w:shd w:fill="FFFFFF" w:val="clear"/>
            <w:vAlign w:val="center"/>
          </w:tcPr>
          <w:p>
            <w:pPr>
              <w:pStyle w:val="TableContents"/>
              <w:bidi w:val="0"/>
              <w:spacing w:before="0" w:after="283"/>
              <w:jc w:val="left"/>
              <w:rPr/>
            </w:pPr>
            <w:r>
              <w:rPr/>
              <w:t xml:space="preserve">  </w:t>
            </w:r>
          </w:p>
        </w:tc>
        <w:tc>
          <w:tcPr>
            <w:tcW w:w="231"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4,610,940 </w:t>
            </w:r>
          </w:p>
        </w:tc>
        <w:tc>
          <w:tcPr>
            <w:tcW w:w="183"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UNAUDITED PRO FORMA CONSOLIDATED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 Transaction Accounting Adjustment: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 xml:space="preserve">(a) </w:t>
            </w:r>
          </w:p>
        </w:tc>
        <w:tc>
          <w:tcPr>
            <w:tcW w:w="9918" w:type="dxa"/>
            <w:tcBorders/>
            <w:vAlign w:val="center"/>
          </w:tcPr>
          <w:p>
            <w:pPr>
              <w:pStyle w:val="TableContents"/>
              <w:bidi w:val="0"/>
              <w:spacing w:before="0" w:after="283"/>
              <w:jc w:val="left"/>
              <w:rPr/>
            </w:pPr>
            <w:r>
              <w:rPr/>
              <w:t xml:space="preserve">The Transaction Accounting Adjustment reflects XWELL’s current best estimate of the operations, assets, liabilities, and equity of the business being sold. These amounts are considered preliminary and as such, actual amounts could differ from these estimates. </w:t>
            </w:r>
          </w:p>
        </w:tc>
      </w:tr>
    </w:tbl>
    <w:p>
      <w:pPr>
        <w:pStyle w:val="TextBody"/>
        <w:bidi w:val="0"/>
        <w:spacing w:before="0" w:after="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 xml:space="preserve">(b) </w:t>
            </w:r>
          </w:p>
        </w:tc>
        <w:tc>
          <w:tcPr>
            <w:tcW w:w="9911" w:type="dxa"/>
            <w:tcBorders/>
            <w:vAlign w:val="center"/>
          </w:tcPr>
          <w:p>
            <w:pPr>
              <w:pStyle w:val="TableContents"/>
              <w:bidi w:val="0"/>
              <w:spacing w:before="0" w:after="283"/>
              <w:jc w:val="left"/>
              <w:rPr/>
            </w:pPr>
            <w:r>
              <w:rPr/>
              <w:t xml:space="preserve">This adjustment represents the pre-tax cash proceeds of $9,650 received from the Buyer in connection with the divestiture, including $2,650 deposited into an escrow account pursuant to the divestiture agreement and $700 of estimated transaction expenses. This amount is subject to post-closing adjustments. </w:t>
            </w:r>
          </w:p>
        </w:tc>
      </w:tr>
    </w:tbl>
    <w:p>
      <w:pPr>
        <w:pStyle w:val="TextBody"/>
        <w:bidi w:val="0"/>
        <w:spacing w:before="0" w:after="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xml:space="preserve">(c) </w:t>
            </w:r>
          </w:p>
        </w:tc>
        <w:tc>
          <w:tcPr>
            <w:tcW w:w="9899" w:type="dxa"/>
            <w:tcBorders/>
            <w:vAlign w:val="center"/>
          </w:tcPr>
          <w:p>
            <w:pPr>
              <w:pStyle w:val="TableContents"/>
              <w:bidi w:val="0"/>
              <w:spacing w:before="0" w:after="283"/>
              <w:jc w:val="left"/>
              <w:rPr/>
            </w:pPr>
            <w:r>
              <w:rPr/>
              <w:t xml:space="preserve">To reclassify $2,650 of the cash proceeds deposited into an escrow account for indemnification and other post-closing claims. The escrow amount is presented separately as an escrow asset. </w:t>
            </w:r>
          </w:p>
        </w:tc>
      </w:tr>
    </w:tbl>
    <w:p>
      <w:pPr>
        <w:pStyle w:val="TextBody"/>
        <w:bidi w:val="0"/>
        <w:spacing w:before="0" w:after="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xml:space="preserve">(d) </w:t>
            </w:r>
          </w:p>
        </w:tc>
        <w:tc>
          <w:tcPr>
            <w:tcW w:w="9919" w:type="dxa"/>
            <w:tcBorders/>
            <w:vAlign w:val="center"/>
          </w:tcPr>
          <w:p>
            <w:pPr>
              <w:pStyle w:val="TableContents"/>
              <w:bidi w:val="0"/>
              <w:spacing w:before="0" w:after="283"/>
              <w:jc w:val="left"/>
              <w:rPr/>
            </w:pPr>
            <w:r>
              <w:rPr/>
              <w:t xml:space="preserve">This adjustment represents the estimated change-in-control bonus payment of $1,657 which is payable to certain executives upon the completion of the divestiture. The payment is expected to be settled in cash immediately following the closing. This is a nonrecurring transaction-related cost that is not expected to have a continuing impact on the Company. </w:t>
            </w:r>
          </w:p>
        </w:tc>
      </w:tr>
    </w:tbl>
    <w:p>
      <w:pPr>
        <w:pStyle w:val="TextBody"/>
        <w:bidi w:val="0"/>
        <w:spacing w:before="0" w:after="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 xml:space="preserve">(e) </w:t>
            </w:r>
          </w:p>
        </w:tc>
        <w:tc>
          <w:tcPr>
            <w:tcW w:w="9935" w:type="dxa"/>
            <w:tcBorders/>
            <w:vAlign w:val="center"/>
          </w:tcPr>
          <w:p>
            <w:pPr>
              <w:pStyle w:val="TableContents"/>
              <w:bidi w:val="0"/>
              <w:spacing w:before="0" w:after="283"/>
              <w:jc w:val="left"/>
              <w:rPr/>
            </w:pPr>
            <w:r>
              <w:rPr/>
              <w:t xml:space="preserve">This adjustment to retained earnings approximates the gain that the Company expects to record in connection with the divestiture. The adjustments to the unaudited pro forma Condensed Consolidated Statement of Operations and Comprehensive Loss do not reflect this anticipated gain on sale as this is considered one-time in nature and not indicative of ongoing operations.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Autonomous Entity Adjustments: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 xml:space="preserve">(f) </w:t>
            </w:r>
          </w:p>
        </w:tc>
        <w:tc>
          <w:tcPr>
            <w:tcW w:w="9980" w:type="dxa"/>
            <w:tcBorders/>
            <w:vAlign w:val="center"/>
          </w:tcPr>
          <w:p>
            <w:pPr>
              <w:pStyle w:val="TableContents"/>
              <w:bidi w:val="0"/>
              <w:spacing w:before="0" w:after="283"/>
              <w:jc w:val="left"/>
              <w:rPr/>
            </w:pPr>
            <w:r>
              <w:rPr/>
              <w:t xml:space="preserve">This adjustment reflects additional corporate management and executive oversight expenses that the Company estimates it would incur to continue to operate as a stand-alone public company following the disposition. Management estimates these incremental executive compensation, finance, legal, human resources, and governance costs to be $500 annually. The unaudited pro forma condensed consolidated statements of operations reflect these estimated costs as if the transaction had occurred on January 1, 2025; accordingly, the adjustment has been reflected based on the applicable period presented (e.g. approximately $250 for the six months ended June 30, 2026).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sa_027"/>
      <w:bookmarkEnd w:id="56"/>
      <w:r>
        <w:rPr>
          <w:rFonts w:ascii="Times New Roman;Times;Serif" w:hAnsi="Times New Roman;Times;Serif"/>
          <w:b/>
          <w:i w:val="false"/>
          <w:caps w:val="false"/>
          <w:smallCaps w:val="false"/>
          <w:sz w:val="20"/>
        </w:rPr>
        <w:t>PROPOSAL 2: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14A of the Exchange Act and Item 402(t) of Regulation S-K, we are asking our stockholders to approve, on a non-binding, advisory basis,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that has been paid or will or may become payable to XWELL’s named executive officers that is based on or otherwise relates to the Sale, as disclosed pursuant to Item 402(t) of Regulation S-K in the table captioned “</w:t>
      </w:r>
      <w:r>
        <w:rPr>
          <w:rFonts w:ascii="Times New Roman;Times;Serif" w:hAnsi="Times New Roman;Times;Serif"/>
          <w:b w:val="false"/>
          <w:i/>
          <w:caps w:val="false"/>
          <w:smallCaps w:val="false"/>
          <w:sz w:val="20"/>
        </w:rPr>
        <w:t>Golden Parachute Compensation</w:t>
      </w:r>
      <w:r>
        <w:rPr>
          <w:rFonts w:ascii="Times New Roman;Times;Serif" w:hAnsi="Times New Roman;Times;Serif"/>
          <w:b w:val="false"/>
          <w:i w:val="false"/>
          <w:caps w:val="false"/>
          <w:smallCaps w:val="false"/>
          <w:sz w:val="20"/>
        </w:rPr>
        <w:t>” and the accompanying narrative and footnotes set forth in the section of this Proxy Statement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xml:space="preserve">,” is hereby APPROVED.”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certain of our named executive officers received cash payments in exchange for their XpresTest RSAs pursuant to the XpresTest RSA Repurchases. The repurchase of these XpresTest RSAs, which would have otherwise occurred at the closing of the Sale pursuant to the terms of the Purchase Agreement, was completed early with the consent of the Buyer. In addition, as discussed above under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xml:space="preserve">,” Mr. Ernst owns XWELL RSAs that will vest in full in connection with the 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Proposal gives our stockholders the opportunity to cast an advisory vote on this compensation, which is quantified in the “</w:t>
      </w:r>
      <w:r>
        <w:rPr>
          <w:rFonts w:ascii="Times New Roman;Times;Serif" w:hAnsi="Times New Roman;Times;Serif"/>
          <w:b w:val="false"/>
          <w:i/>
          <w:caps w:val="false"/>
          <w:smallCaps w:val="false"/>
          <w:sz w:val="20"/>
        </w:rPr>
        <w:t>Golden Parachute Compensation</w:t>
      </w:r>
      <w:r>
        <w:rPr>
          <w:rFonts w:ascii="Times New Roman;Times;Serif" w:hAnsi="Times New Roman;Times;Serif"/>
          <w:b w:val="false"/>
          <w:i w:val="false"/>
          <w:caps w:val="false"/>
          <w:smallCaps w:val="false"/>
          <w:sz w:val="20"/>
        </w:rPr>
        <w:t>” table and the footnotes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a_028"/>
      <w:bookmarkEnd w:id="57"/>
      <w:r>
        <w:rPr>
          <w:rFonts w:ascii="Times New Roman;Times;Serif" w:hAnsi="Times New Roman;Times;Serif"/>
          <w:b/>
          <w:i w:val="false"/>
          <w:caps w:val="false"/>
          <w:smallCaps w:val="false"/>
          <w:sz w:val="20"/>
        </w:rPr>
        <w:t>Vote Required and Effect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of the Compensation Proposal requires the affirmative vote of the holders of a majority of the votes cast by the stockholders present virtually or represented by proxy at the Special Meeting, voting affirmatively or negatively, and entitled to vote thereon. Abstentions will have no effect on the outcome of the vote on the Compensation Proposal. No broker non-votes are expected in connection with the Special Meeting. If you hold your shares in street name, the failure to instruct your broker, bank or other nominee how to vote your shares will not have an effect on the Compensation Proposal. The vote on the Compensation Proposal is advisory only and will not be binding on XWELL, XpresTest, XpresSpa, or the Buyer. The Compensation Proposal is separate and apart from the Sale Proposal, and approval of the Compensation Proposal is not a condition to completion of the Sale. Accordingly, a stockholder may vote to approve the Sale Proposal and vote not to approve the Compensation Proposal, and vice versa. Because the vote on the Compensation Proposal is advisory in nature only, if the Sale Proposal is approved and the Sale is completed, the other compensation discussed above (including the acceleration of Mr. Ernst's XWELL RSAs) may become payable to our named executive officers regardless of the outcome of the advisory vote on the Compensation Proposal, subject to the terms of the applicable compensation arrangements. In addition, the payments in respect of the XpresTest RSAs described above have already been made pursuant to the XpresTest RSA Repurchases and will not be affected by the outcome of the advisory vote on the Compensation Proposal or by whether the Sale is completed.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a_029"/>
      <w:bookmarkEnd w:id="58"/>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you vote “FOR” the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9" w:name="ab_001"/>
      <w:bookmarkEnd w:id="59"/>
      <w:r>
        <w:rPr>
          <w:rFonts w:ascii="Times New Roman;Times;Serif" w:hAnsi="Times New Roman;Times;Serif"/>
          <w:b/>
          <w:i w:val="false"/>
          <w:caps w:val="false"/>
          <w:smallCaps w:val="false"/>
          <w:sz w:val="20"/>
        </w:rPr>
        <w:t>PROPOSAL 3: THE INCENTIVE PLAN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Background and Description of the Plan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is requesting that our stockholders approve the adoption of an amendment to our 2020 Plan, which amendment was approved by the Board of Directors on October 6, 2026, effective upon approval by our stockholders at the Special Meeting (the “Plan Amendment”).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2020 Plan was originally approved by our Board of Directors on September 17, 2020 (the “Effective Date”) and by stockholders on October 28, 2020. Under the 2020 Plan, as originally approved, we initially reserved 5,000,000 shares of Common Stock (not adjusted for our 2023 Reverse Stock Split (as defined below)) for issuance as awards under the 2020 Plan. The 2020 Plan was amended to increase the total number of shares of Common Stock for issuance under the 2020 Plan to 12,500,000 shares (not adjusted for our 2023 Reverse Stock Split), which was approved by the Board and the Compensation Committee on August 9, 2022, and by our stockholders on October 4, 2022. Subsequently, on September 28, 2023, we effected a 1-for-20 reverse stock split of our Common Stock, after which the number of shares of Common Stock for issuance as awards under the 2020 Plan was adjusted to 625,000 shares (the “2023 Reverse Stock Split”). Thereafter, the 2020 Plan was amended to increase the total number of shares of Common Stock for issuance under the 2020 Plan to 3,125,000 shares (adjusted for our 2023 Reverse Stock Split), which was approved by the Board and the Compensation Committee on February 13, 2025, and by our stockholders on April 10, 2025. If the Incentive Plan Proposal is approved, the number of shares authorized for issuance of awards under the 2020 Plan will be increased pursuant to the Plan Amendment by 1,221,134 shares of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its terms, the 2020 Plan may be amended by the Board at any time, provided that, no amendment shall be effective unless approved by our stockholders of to the extent stockholder approval is necessary to, among other things, satisfy applicable law or stock exchange rules.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stockholders approve the amendment to the 2020 Plan, the number of shares available for future awards under the 2020 Plan as of the date of the annual meeting would be the sum of (1) 1,221,134 shares, (2) the number of shares available for future awards under the 2020 Plan immediately before such approval (as of the Record Date, 274,498 shares were available for future awards under the 2020 Plan), and (3) any shares subject to outstanding awards under the 2020 Plan or the 2012 Employee, Director and Consultant Equity Incentive Plan, as amended (the “2012 Plan”), that are terminated, cancelled, surrendered or forfeited (as of the Record Date 2,850,502 shares were subject to outstanding awards under the 2020 Plan and the 2012 Plan).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Reasons for the 2020 Plan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the Compensation Committee, and management believe that the effective use of stock-based long-term incentive compensation is vital to our ability to achieve strong performance in the future. The 2020 Plan will maintain and enhance the key policies and practices adopted by our management and Board of Directors to align employee and stockholder interests and to link compensation our performance. In addition, our future success depends, in large part, upon our ability to maintain a competitive position in attracting, retaining and motivating key personnel. We believe that the increase in the number of shares available for issuance under the 2020 Plan is essential to permit our management to continue to provide long-term, equity-based incentives to present and future key employees, consultants, and directors. Our Board believes that the number of shares currently remaining available for issuance pursuant to future awards under the 2020 Plan (as of the Record Date) is not sufficient for future granting needs. Our Board currently believes that if the Plan Amendment is approved by stockholders, the shares available for issuance under the 2020 Plan will result in a more appropriate number of shares of Common Stock being available for future awards under the 2020 Plan.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of Material Features of the 2020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brief summary of the 2020 Plan, as amended pursuant to the Plan Amendment. This summary is qualified in its entirety by reference to the text of the Plan Amendment and the 2020 Plan, copies of which are attached as Annex G and Annex F, respectively, to this proxy statement.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Subject to the 2020 Plan</w:t>
      </w:r>
      <w:r>
        <w:rPr>
          <w:rFonts w:ascii="Times New Roman;Times;Serif" w:hAnsi="Times New Roman;Times;Serif"/>
          <w:b w:val="false"/>
          <w:i w:val="false"/>
          <w:caps w:val="false"/>
          <w:smallCaps w:val="false"/>
          <w:sz w:val="20"/>
        </w:rPr>
        <w:t xml:space="preserve">.   The aggregate number of shares of Common Stock that may be issued pursuant to awards granted under the 2020 Plan will not exceed 4,346,134 shares, plus the number shares of subject to outstanding awards under the 2012 Plan which are thereafter forfeited, settled in cash or cancelled or expire or are reacquired by the Company. The number of shares of Common Stock that may be issued pursuant to incentive stock options under the 2020 Plan is also limited to 4,346,134 shares. Shares of Common Stock available for distribution under the 2020 Plan may consist, in whole or in part, of authorized and unissued shares, treasury shares or shares reacquired by the Company in any manner.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shares of Common Stock subject to an award that expires or is cancelled,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Participation in the 2020 Plan is limited to our employees, directors and consultants and our affiliated entities. As of the Record Date, there were 5 non-employee directors, approximately 291 employees that are eligible for grants under the 2020 Plan. The 2020 Plan provides that the maximum number of shares of Common Stock subject to awards to non-employee directors during any fiscal year must not exceed $750,000 (calculating the value of any awards based on the grant date fair value for financial reporting purposes).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Substitute Awards</w:t>
      </w:r>
      <w:r>
        <w:rPr>
          <w:rFonts w:ascii="Times New Roman;Times;Serif" w:hAnsi="Times New Roman;Times;Serif"/>
          <w:b w:val="false"/>
          <w:i w:val="false"/>
          <w:caps w:val="false"/>
          <w:smallCaps w:val="false"/>
          <w:sz w:val="20"/>
        </w:rPr>
        <w:t xml:space="preserve">.   Awards may, in the sole discretion of the plan administrator, be granted under the 2020 Plan in assumption of, or in substitution for, outstanding awards previously granted by an entity acquired by us or with which we combine (“Substitute Awards”). Substitute Awards will not be counted against the share reserve, provided that Substitute Awards issued in connection with the assumption of, or in substitution for, outstanding options intended to qualify as incentive stock options will be counted against the Incentive Stock Option limit. Subject to applicable stock exchange requirements, available shares under a stockholder-approved plan of an entity directly or indirectly acquired by us or with which we combine (as appropriately adjusted to reflect such acquisition or transaction) may be used for awards under the 2020 Plan and will not count toward the total share 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xml:space="preserve">.   The Board has delegated authority to administer the 2020 Plan to the Compensation Committee. Subject to the terms of the 2020 Plan, the 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 and may delegate its authority to one or more officers Common Stock with respect to awards that do not involve “insiders” within the meaning of Section 16 of the Exchange Act.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Repricing without Stockholder Approval</w:t>
      </w:r>
      <w:r>
        <w:rPr>
          <w:rFonts w:ascii="Times New Roman;Times;Serif" w:hAnsi="Times New Roman;Times;Serif"/>
          <w:b w:val="false"/>
          <w:i w:val="false"/>
          <w:caps w:val="false"/>
          <w:smallCaps w:val="false"/>
          <w:sz w:val="20"/>
        </w:rPr>
        <w:t xml:space="preserve">.   The 2020 Plan provides that stockholder approval is required before a repricing is effective.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 Available for Grant under the 2020 Plan</w:t>
      </w:r>
      <w:r>
        <w:rPr>
          <w:rFonts w:ascii="Times New Roman;Times;Serif" w:hAnsi="Times New Roman;Times;Serif"/>
          <w:b w:val="false"/>
          <w:i w:val="false"/>
          <w:caps w:val="false"/>
          <w:smallCaps w:val="false"/>
          <w:sz w:val="20"/>
        </w:rPr>
        <w:t xml:space="preserve">.   The plan administrator has the authority to grant the following types of awards under the 2020 Plan. All awards will be evidenced by an award agreement and will be subject to such conditions not inconsistent with the 2020 Plan as may be reflected in the award agreement.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xml:space="preserve">.   The plan administrator may grant options to purchase shares of Common Stock that are exercisable at a price per share not less than the fair market value, determined in accordance with the 2020 Plan, per share of Common Stock on the date that the option is awarded. Such options may be either incentive stock options or non-qualified stock options. A 10% stockholder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xml:space="preserve">.   The plan administrator may grant stock appreciation rights either separately or in connection with another award under the 2020 Plan. The maximum term of any stock appreciation right is ten years. The plan administrator may provide that stock appreciation rights are exercisable at the discretion of the holder or that they will be paid at a time or times certain or upon the occurrence or non-occurrence of certain events.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and Restricted Stock Units (“RSUs”)</w:t>
      </w:r>
      <w:r>
        <w:rPr>
          <w:rFonts w:ascii="Times New Roman;Times;Serif" w:hAnsi="Times New Roman;Times;Serif"/>
          <w:b w:val="false"/>
          <w:i w:val="false"/>
          <w:caps w:val="false"/>
          <w:smallCaps w:val="false"/>
          <w:sz w:val="20"/>
        </w:rPr>
        <w:t xml:space="preserve">.   The plan administrator may grant shares of restricted Common Stock or RSUs representing the right to receive Common Stock in the future, subject to such restrictions and conditions, if any, as the plan administrator will determine. No shares of Common Stock will be issued at the time an RSU is granted, and we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us in respect of one share of Common Stock. Dividend equivalents will be withheld by us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Share Awards</w:t>
      </w:r>
      <w:r>
        <w:rPr>
          <w:rFonts w:ascii="Times New Roman;Times;Serif" w:hAnsi="Times New Roman;Times;Serif"/>
          <w:b w:val="false"/>
          <w:i w:val="false"/>
          <w:caps w:val="false"/>
          <w:smallCaps w:val="false"/>
          <w:sz w:val="20"/>
        </w:rPr>
        <w:t xml:space="preserve">.   The plan administrator may grant performance share awards and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Equity-Based and Cash Awards</w:t>
      </w:r>
      <w:r>
        <w:rPr>
          <w:rFonts w:ascii="Times New Roman;Times;Serif" w:hAnsi="Times New Roman;Times;Serif"/>
          <w:b w:val="false"/>
          <w:i w:val="false"/>
          <w:caps w:val="false"/>
          <w:smallCaps w:val="false"/>
          <w:sz w:val="20"/>
        </w:rPr>
        <w:t xml:space="preserve">.   Cash awards and other equity-based awards may be granted in such numbers and may be subject to such conditions or restrictions as the plan administrator will determine and will be payable in cash or shares of Common Stock, as the plan administrator may determine.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Deferrals</w:t>
      </w:r>
      <w:r>
        <w:rPr>
          <w:rFonts w:ascii="Times New Roman;Times;Serif" w:hAnsi="Times New Roman;Times;Serif"/>
          <w:b w:val="false"/>
          <w:i w:val="false"/>
          <w:caps w:val="false"/>
          <w:smallCaps w:val="false"/>
          <w:sz w:val="20"/>
        </w:rPr>
        <w:t xml:space="preserve">.   The plan administrator may establish one or more programs under the 2020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 and Vesting upon Death or Disability</w:t>
      </w:r>
      <w:r>
        <w:rPr>
          <w:rFonts w:ascii="Times New Roman;Times;Serif" w:hAnsi="Times New Roman;Times;Serif"/>
          <w:b w:val="false"/>
          <w:i w:val="false"/>
          <w:caps w:val="false"/>
          <w:smallCaps w:val="false"/>
          <w:sz w:val="20"/>
        </w:rPr>
        <w:t xml:space="preserve">.   The plan administrator has the power to accelerate the time at which an award may first be exercised or the time during which an award or any part thereof will vest on a participant’s termination of employment or service due to death or disability, notwithstanding the provisions in the award stating the time at which it may first be exercised or the time during which it will vest.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Recapitalizations and Reorganizations</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The number of shares of Common Stock reserved for issuance in connection with the grant or settlement of awards or to which an award is subject, and the exercise price of each option and stock appreciation right are subject to, adjustment in the event of any recapitalization or similar event effected without receipt of consideration by us.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xml:space="preserve">.   The 2020 Plan provides that, except to the extent an award agreement provides for a different treatment (in which case the award agreement will govern), all then-outstanding awards held by a participant and not previously vested will become fully vested, provided that if the achievement of any performance goals applicable to an award have not been measured, then such performance goals will be deemed satisfied as if target performance was achieved.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xml:space="preserve">.   Awards are not generally transferable or assignable, unless the plan administrator provides otherwise.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Forfeiture and Clawbacks</w:t>
      </w:r>
      <w:r>
        <w:rPr>
          <w:rFonts w:ascii="Times New Roman;Times;Serif" w:hAnsi="Times New Roman;Times;Serif"/>
          <w:b w:val="false"/>
          <w:i w:val="false"/>
          <w:caps w:val="false"/>
          <w:smallCaps w:val="false"/>
          <w:sz w:val="20"/>
        </w:rPr>
        <w:t xml:space="preserve">.   Awards will be subject to forfeiture, cancellation, reimbursement, or recoupment to the extent provided in any applicable clawback policy adopted by us or otherwise required pursuant to applicable law.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xml:space="preserve">.   The 2020 Plan may be amended by the Board, but stockholder approval will be required for any amendment (except as provided above regarding recapitalizations and reorganizations) to the extent stockholder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Federal Income Tax Considerations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we will generally be entitled to a corresponding tax deduction. If a participant is our employee or an employee of one of our affiliates, any ordinary income recognized will be subject to employment and withholding taxes.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Law Affecting Deferred Compensation</w:t>
      </w:r>
      <w:r>
        <w:rPr>
          <w:rFonts w:ascii="Times New Roman;Times;Serif" w:hAnsi="Times New Roman;Times;Serif"/>
          <w:b w:val="false"/>
          <w:i w:val="false"/>
          <w:caps w:val="false"/>
          <w:smallCaps w:val="false"/>
          <w:sz w:val="20"/>
        </w:rPr>
        <w:t xml:space="preserve">. In 2004, Section 409A was added to the Code to regulate all types of deferred compensation. If the requirements of Section 409A of the Code are not satisfied, deferred compensation and earnings thereon will be subject to tax as it vests, plus an interest charge at the then current underpayment rate plus 1% and a 20% penalty tax. Certain performance awards, stock options, stock appreciation rights, RSUs, and certain types of restricted stock are subject to Section 409A of the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Options</w:t>
      </w:r>
      <w:r>
        <w:rPr>
          <w:rFonts w:ascii="Times New Roman;Times;Serif" w:hAnsi="Times New Roman;Times;Serif"/>
          <w:b w:val="false"/>
          <w:i w:val="false"/>
          <w:caps w:val="false"/>
          <w:smallCaps w:val="false"/>
          <w:sz w:val="20"/>
        </w:rPr>
        <w:t xml:space="preserve">.   A participant will generally not recognize income upon the grant of an option or at any time prior to the exercise of the option or a 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length of the period that the shares of Common Stock 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Stock Options</w:t>
      </w:r>
      <w:r>
        <w:rPr>
          <w:rFonts w:ascii="Times New Roman;Times;Serif" w:hAnsi="Times New Roman;Times;Serif"/>
          <w:b w:val="false"/>
          <w:i w:val="false"/>
          <w:caps w:val="false"/>
          <w:smallCaps w:val="false"/>
          <w:sz w:val="20"/>
        </w:rPr>
        <w:t xml:space="preserve">.   A participant who exercises an incentive stock option will generally not recognize compensation taxable as ordinary income at the time he or she exercises the option.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upon exercise of the incentive stock option (referred to as, the “holding period”), the participant will be entitled to capital gain or loss treatment based upon the difference between the amount realized on the disposition and the aggregate exercise price.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stock option may subject a participant to, or increase a participant’s liability for, the alternative minimum tax. </w:t>
      </w: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xml:space="preserve">.   A participant will generally not be taxed upon the grant of a restricted stock award if such award is not transferable by the participant or is subject to a “substantial risk of forfeiture,” as defined in the Code. However, when the shares of Common Stock that are subject to the restricted stock award are transferable by the participant or are no longer subject to a substantial risk of forfeiture, the participant will recognize compensation taxable as ordinary income in an amount equal to the fair market value of the stock subject to the stock award, less any amount paid for such stock. However, if a participant so elects at the time of receipt of a restricted stock award in accordance with Section 83(b) of the Code, he or she may include the fair market value of the stock subject to the restricted stock award, less any amount paid for such stock, as compensation taxable as ordinary income at that time.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 (“RSUs”)</w:t>
      </w:r>
      <w:r>
        <w:rPr>
          <w:rFonts w:ascii="Times New Roman;Times;Serif" w:hAnsi="Times New Roman;Times;Serif"/>
          <w:b w:val="false"/>
          <w:i w:val="false"/>
          <w:caps w:val="false"/>
          <w:smallCaps w:val="false"/>
          <w:sz w:val="20"/>
        </w:rPr>
        <w:t xml:space="preserve">.   A participant will generally not be taxed upon the grant of an award of RSUs. The participant generally will be subject to compensation taxable as ordinary income on the fair market value of unrestricted common shares on the date that such shares are transferred to the participant under the RSUs (reduced by any amount paid by the participant for such RSUs), and the capital gains/loss holding period for such transferred shares will also commence on such date.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 (“SARs”)</w:t>
      </w:r>
      <w:r>
        <w:rPr>
          <w:rFonts w:ascii="Times New Roman;Times;Serif" w:hAnsi="Times New Roman;Times;Serif"/>
          <w:b w:val="false"/>
          <w:i w:val="false"/>
          <w:caps w:val="false"/>
          <w:smallCaps w:val="false"/>
          <w:sz w:val="20"/>
        </w:rPr>
        <w:t xml:space="preserve">. Generally, a participant who receives a stand-alone SAR will not recognize taxable income at the time the stand-alone SAR is granted, provided that the SAR is exempt from or complies with Section 409A of the Code. If a participant receives the appreciation inherent in the SARs in cash, the cash will be taxed as ordinary income to the recipient at the time it is received. If a recipient receives the appreciation inherent in the SARs in stock, the spread between the then current market value and the grant price, if any, will be taxed as ordinary income to the participant at the time it is received. In general, there will be no federal income tax deduction allowed to us upon the grant or termination of SARs. However, upon the exercise of a SAR, we will be entitled to a deduction equal to the amount of ordinary income the recipient is required to recognize as a result of the exercise.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Stock-Based Awards</w:t>
      </w:r>
      <w:r>
        <w:rPr>
          <w:rFonts w:ascii="Times New Roman;Times;Serif" w:hAnsi="Times New Roman;Times;Serif"/>
          <w:b w:val="false"/>
          <w:i w:val="false"/>
          <w:caps w:val="false"/>
          <w:smallCaps w:val="false"/>
          <w:sz w:val="20"/>
        </w:rPr>
        <w:t xml:space="preserve">.   A participant will generally not recognize income upon the grant of any other stock-based award. Generally, at the time a participant receives payment under any other stock-based award, he or she will recognize compensation taxable as ordinary income in an amount equal to the cash or the fair market value of the Common Stock received, provided that the award is exempt from or complies with Section 409A of the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Federal Tax Withholding</w:t>
      </w:r>
      <w:r>
        <w:rPr>
          <w:rFonts w:ascii="Times New Roman;Times;Serif" w:hAnsi="Times New Roman;Times;Serif"/>
          <w:b w:val="false"/>
          <w:i w:val="false"/>
          <w:caps w:val="false"/>
          <w:smallCaps w:val="false"/>
          <w:sz w:val="20"/>
        </w:rPr>
        <w:t xml:space="preserve">.  Any ordinary income realized by a participant upon the granting, vesting, exercise or conversion of an award under the 2020 Plan, 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those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us to employees no later than January 31 of the succeeding year. Deferred compensation that is subject to Section 409A of the Code will be subject to certain federal income tax withholding and reporting requirements.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Consequences to the Company</w:t>
      </w:r>
      <w:r>
        <w:rPr>
          <w:rFonts w:ascii="Times New Roman;Times;Serif" w:hAnsi="Times New Roman;Times;Serif"/>
          <w:b w:val="false"/>
          <w:i w:val="false"/>
          <w:caps w:val="false"/>
          <w:smallCaps w:val="false"/>
          <w:sz w:val="20"/>
        </w:rPr>
        <w:t xml:space="preserve">. To the extent that a participant recognizes ordinary income in the circumstances described above, we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 While deductibility of executive compensation for federal income tax purposes is among the factors the Compensation Committee considers when structuring executive compensation arrangements, it is not the sole or primary factor considered. We retain the flexibility to authorize compensation that may not be deductible if the plan administrator believes it is in our best interests.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Million Dollar Deduction Limit and Other Tax Matters</w:t>
      </w:r>
      <w:r>
        <w:rPr>
          <w:rFonts w:ascii="Times New Roman;Times;Serif" w:hAnsi="Times New Roman;Times;Serif"/>
          <w:b w:val="false"/>
          <w:i w:val="false"/>
          <w:caps w:val="false"/>
          <w:smallCaps w:val="false"/>
          <w:sz w:val="20"/>
        </w:rPr>
        <w:t xml:space="preserve">. We may not deduct compensation of more than $1,000,000 that is paid to “covered employees” (as 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 (iii) anyone who was a covered employee for purposes of Section 162(m) of the Code for any tax year beginning on or after January 1, 2018.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2018, so long as the contract is not materially modified after that date.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individual’s rights under the 2020 Plan are accelerated as a result of a change in control and the individual is a “disqualified individual” under Section 280G of the Code, then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corresponding compensation deduction on such amounts.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 Benefits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of future grants under the 2020 Plan are not determinable and will be granted at the sole discretion of the Compensation Committee or other delegated persons. We cannot determine at this time either the persons who will receive such awards under the 2020 Plan or the amount or types of any such awards.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2026, the latest practicable date before the date of this Proxy Statement, the closing market price per share of our Common Stock was $0.82, as reported by The Nasdaq Stock Market.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Securities Authorized for Issuance under Equity Compensation Plans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following table sets forth information regarding our equity compensation plans at December 31, 2025: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9917" w:type="dxa"/>
        <w:jc w:val="left"/>
        <w:tblInd w:w="0" w:type="dxa"/>
        <w:tblLayout w:type="fixed"/>
        <w:tblCellMar>
          <w:top w:w="0" w:type="dxa"/>
          <w:left w:w="0" w:type="dxa"/>
          <w:bottom w:w="28" w:type="dxa"/>
          <w:right w:w="0" w:type="dxa"/>
        </w:tblCellMar>
      </w:tblPr>
      <w:tblGrid>
        <w:gridCol w:w="5030"/>
        <w:gridCol w:w="120"/>
        <w:gridCol w:w="143"/>
        <w:gridCol w:w="1121"/>
        <w:gridCol w:w="120"/>
        <w:gridCol w:w="120"/>
        <w:gridCol w:w="328"/>
        <w:gridCol w:w="1161"/>
        <w:gridCol w:w="120"/>
        <w:gridCol w:w="120"/>
        <w:gridCol w:w="135"/>
        <w:gridCol w:w="1264"/>
        <w:gridCol w:w="135"/>
      </w:tblGrid>
      <w:tr>
        <w:trPr/>
        <w:tc>
          <w:tcPr>
            <w:tcW w:w="5030"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b/>
                <w:sz w:val="20"/>
              </w:rPr>
              <w:t>Plan category</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2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br/>
              <w:t>securities to be</w:t>
              <w:br/>
              <w:t>issued upon</w:t>
              <w:br/>
              <w:t>exercise of</w:t>
              <w:br/>
              <w:t>outstanding</w:t>
              <w:br/>
              <w:t>options,</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 and</w:t>
              <w:br/>
              <w:t>rights</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Weighted-</w:t>
              <w:br/>
              <w:t>average exercise</w:t>
              <w:br/>
              <w:t>price of</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outstanding</w:t>
              <w:br/>
              <w:t>options, warrants</w:t>
              <w:br/>
              <w:t>and rights</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39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br/>
              <w:t>securities</w:t>
              <w:br/>
              <w:t>(by class)</w:t>
              <w:br/>
              <w:t>remaining</w:t>
              <w:br/>
              <w:t>available for</w:t>
              <w:br/>
              <w:t>future issuance</w:t>
              <w:br/>
              <w:t>under equity</w:t>
              <w:br/>
              <w:t>compensation</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plans (excluding</w:t>
              <w:br/>
              <w:t>securities</w:t>
              <w:br/>
              <w:t>reflected in</w:t>
              <w:br/>
              <w:t>column (a))</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w:t>
            </w:r>
          </w:p>
        </w:tc>
        <w:tc>
          <w:tcPr>
            <w:tcW w:w="135" w:type="dxa"/>
            <w:tcBorders/>
            <w:tcMar>
              <w:bottom w:w="0" w:type="dxa"/>
            </w:tcMar>
            <w:vAlign w:val="center"/>
          </w:tcPr>
          <w:p>
            <w:pPr>
              <w:pStyle w:val="TableContents"/>
              <w:bidi w:val="0"/>
              <w:spacing w:before="0" w:after="283"/>
              <w:jc w:val="center"/>
              <w:rPr/>
            </w:pPr>
            <w:r>
              <w:rPr/>
              <w:t xml:space="preserve">  </w:t>
            </w:r>
          </w:p>
        </w:tc>
      </w:tr>
      <w:tr>
        <w:trPr/>
        <w:tc>
          <w:tcPr>
            <w:tcW w:w="5030" w:type="dxa"/>
            <w:tcBorders/>
            <w:shd w:fill="CCEEFF" w:val="clear"/>
            <w:tcMar>
              <w:bottom w:w="0" w:type="dxa"/>
            </w:tcMar>
            <w:vAlign w:val="center"/>
          </w:tcPr>
          <w:p>
            <w:pPr>
              <w:pStyle w:val="TableContents"/>
              <w:bidi w:val="0"/>
              <w:spacing w:before="0" w:after="283"/>
              <w:jc w:val="left"/>
              <w:rPr/>
            </w:pPr>
            <w:r>
              <w:rPr>
                <w:rFonts w:cs="Times New Roman;Times;Serif"/>
                <w:szCs w:val="20"/>
              </w:rPr>
              <w:t>﻿</w:t>
            </w:r>
            <w:r>
              <w:rPr>
                <w:rFonts w:ascii="Times New Roman;Times;Serif" w:hAnsi="Times New Roman;Times;Serif"/>
                <w:sz w:val="20"/>
              </w:rPr>
              <w:t>Equity compensation plans approved by security holders (1)</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3" w:type="dxa"/>
            <w:tcBorders/>
            <w:shd w:fill="CCEEFF" w:val="clear"/>
            <w:tcMar>
              <w:bottom w:w="0" w:type="dxa"/>
            </w:tcMar>
            <w:vAlign w:val="center"/>
          </w:tcPr>
          <w:p>
            <w:pPr>
              <w:pStyle w:val="TableContents"/>
              <w:bidi w:val="0"/>
              <w:spacing w:before="0" w:after="283"/>
              <w:jc w:val="left"/>
              <w:rPr/>
            </w:pPr>
            <w:r>
              <w:rPr/>
              <w:t xml:space="preserve">  </w:t>
            </w:r>
          </w:p>
        </w:tc>
        <w:tc>
          <w:tcPr>
            <w:tcW w:w="1121" w:type="dxa"/>
            <w:tcBorders/>
            <w:shd w:fill="CCEEFF" w:val="clear"/>
            <w:tcMar>
              <w:bottom w:w="0" w:type="dxa"/>
            </w:tcMar>
            <w:vAlign w:val="center"/>
          </w:tcPr>
          <w:p>
            <w:pPr>
              <w:pStyle w:val="TableContents"/>
              <w:bidi w:val="0"/>
              <w:spacing w:before="0" w:after="283"/>
              <w:jc w:val="right"/>
              <w:rPr/>
            </w:pPr>
            <w:r>
              <w:rPr/>
              <w:t xml:space="preserve">970,851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32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61" w:type="dxa"/>
            <w:tcBorders/>
            <w:shd w:fill="CCEEFF" w:val="clear"/>
            <w:tcMar>
              <w:bottom w:w="0" w:type="dxa"/>
            </w:tcMar>
            <w:vAlign w:val="center"/>
          </w:tcPr>
          <w:p>
            <w:pPr>
              <w:pStyle w:val="TableContents"/>
              <w:bidi w:val="0"/>
              <w:spacing w:before="0" w:after="283"/>
              <w:jc w:val="right"/>
              <w:rPr/>
            </w:pPr>
            <w:r>
              <w:rPr/>
              <w:t xml:space="preserve">5.26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c>
          <w:tcPr>
            <w:tcW w:w="1264" w:type="dxa"/>
            <w:tcBorders/>
            <w:shd w:fill="CCEEFF" w:val="clear"/>
            <w:tcMar>
              <w:bottom w:w="0" w:type="dxa"/>
            </w:tcMar>
            <w:vAlign w:val="center"/>
          </w:tcPr>
          <w:p>
            <w:pPr>
              <w:pStyle w:val="TableContents"/>
              <w:bidi w:val="0"/>
              <w:spacing w:before="0" w:after="283"/>
              <w:jc w:val="right"/>
              <w:rPr/>
            </w:pPr>
            <w:r>
              <w:rPr/>
              <w:t xml:space="preserve">1,552,745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503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Equity compensation plans not approved by security holders</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3" w:type="dxa"/>
            <w:tcBorders/>
            <w:shd w:fill="FFFFFF" w:val="clear"/>
            <w:tcMar>
              <w:bottom w:w="0" w:type="dxa"/>
            </w:tcMar>
            <w:vAlign w:val="center"/>
          </w:tcPr>
          <w:p>
            <w:pPr>
              <w:pStyle w:val="TableContents"/>
              <w:bidi w:val="0"/>
              <w:spacing w:before="0" w:after="283"/>
              <w:jc w:val="left"/>
              <w:rPr/>
            </w:pPr>
            <w:r>
              <w:rPr/>
              <w:t xml:space="preserve">  </w:t>
            </w:r>
          </w:p>
        </w:tc>
        <w:tc>
          <w:tcPr>
            <w:tcW w:w="1121"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32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61"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c>
          <w:tcPr>
            <w:tcW w:w="1264"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pPr>
            <w:r>
              <w:rPr>
                <w:rFonts w:ascii="Times New Roman;Times;Serif" w:hAnsi="Times New Roman;Times;Serif"/>
                <w:sz w:val="20"/>
              </w:rPr>
              <w:t>(1)</w:t>
            </w:r>
            <w:r>
              <w:rPr/>
              <w:t xml:space="preserve"> </w:t>
            </w:r>
          </w:p>
        </w:tc>
        <w:tc>
          <w:tcPr>
            <w:tcW w:w="9891" w:type="dxa"/>
            <w:tcBorders/>
            <w:vAlign w:val="center"/>
          </w:tcPr>
          <w:p>
            <w:pPr>
              <w:pStyle w:val="TableContents"/>
              <w:bidi w:val="0"/>
              <w:spacing w:before="0" w:after="283"/>
              <w:jc w:val="both"/>
              <w:rPr/>
            </w:pPr>
            <w:r>
              <w:rPr>
                <w:rFonts w:ascii="Times New Roman;Times;Serif" w:hAnsi="Times New Roman;Times;Serif"/>
                <w:sz w:val="20"/>
              </w:rPr>
              <w:t>Represents shares of common stock issuable upon exercise of outstanding stock options and rights under our 2020 Stock Plan.</w:t>
            </w: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0" w:name="ab_002"/>
      <w:bookmarkEnd w:id="60"/>
      <w:r>
        <w:rPr>
          <w:rFonts w:ascii="Times New Roman;Times;Serif" w:hAnsi="Times New Roman;Times;Serif"/>
          <w:b/>
          <w:i w:val="false"/>
          <w:caps w:val="false"/>
          <w:smallCaps w:val="false"/>
          <w:sz w:val="20"/>
        </w:rPr>
        <w:t>Board Recommendation and Required Vote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a majority of the votes cast by the stockholders present virtually or represented by proxy, voting affirmatively or negatively at the Special Meeting and entitled to vote on the Incentive Plan Proposal is required to approve the Incentive Plan Proposal. Abstentions will have no effect on the outcome of voting. No broker non-votes are expected in connection with the Special Meeting. Failure to instruct your bank, broker or other nominee how to vote your shares on the Incentive Plan Proposal will have no effect on the Incentive Plan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1" w:name="sa_030"/>
      <w:bookmarkEnd w:id="61"/>
      <w:r>
        <w:rPr>
          <w:rFonts w:ascii="Times New Roman;Times;Serif" w:hAnsi="Times New Roman;Times;Serif"/>
          <w:b/>
          <w:i w:val="false"/>
          <w:caps w:val="false"/>
          <w:smallCaps w:val="false"/>
          <w:sz w:val="20"/>
        </w:rPr>
        <w:t>PROPOSAL 4: THE 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number of shares of Common Stock present virtually or represented by proxy at the Special Meeting voting in favor of the Sale Proposal is insufficient to approve the proposals at the time of the Special Meeting, we intend to move to adjourn the Special Meeting to a later date in order to enable the Board to solicit additional proxies in respect of the proposal to approve the various proposals. In that event, we will ask our stockholders to vote only upon the Adjournment Proposal and not the Sale Proposal, the Compensation Proposal, or the Incentive Plan Proposal. The Board’s exercise of its adjournment authority will be subject to the timelines set forth in the Purchase Agreement, including that the Purchase Agreement may be terminated by either party if the Sale has not been consummated by the 180th day following the date of the Purchase Agreement, subject to up to two automatic 30-day extensions if the sole unsatisfied closing condition is Company stockholder approval.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proposal regarding the adjournment of the Special Meeting, we are asking you to authorize the holder of any proxy solicited by the Board to vote in favor of granting discretionary authority to the Board to adjourn the Special Meeting for the purpose of soliciting additional proxies in favor of the various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Sale. Among other things, approval of the Adjournment Proposal could mean that, even if we had received proxies representing a sufficient number of votes against one or more of the proposals such that such proposal(s)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 Approval of the Adjournment Proposal is not a condition to completion of the Sale, and approval of the Adjournment Proposal is not conditioned on approval of the Sale Proposal, the Compensation Proposal, or the Incentive Plan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sa_031"/>
      <w:bookmarkEnd w:id="62"/>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virtually or represented by proxy, voting affirmatively or negatively at the Special Meeting and entitled to vote on the Adjournment Proposal is required to approve the Adjournment Proposal. “ABSTAIN” votes will have no effect on the Adjournment Proposal. No broker non-votes are expected in connection with the Special Meeting. If you hold your shares in street name, the failure to instruct your broker, bank or other nominee how to vote your shares will not have an effect on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sa_032"/>
      <w:bookmarkEnd w:id="63"/>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discretionary authority to adjourn the Special Meeting, if necessary or appropriate,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sa_033"/>
      <w:bookmarkEnd w:id="64"/>
      <w:r>
        <w:rPr>
          <w:rFonts w:ascii="Times New Roman;Times;Serif" w:hAnsi="Times New Roman;Times;Serif"/>
          <w:b/>
          <w:i w:val="false"/>
          <w:caps w:val="false"/>
          <w:smallCaps w:val="false"/>
          <w:sz w:val="20"/>
        </w:rPr>
        <w:t>MATERIAL UNITED STATES FEDERAL INCOME TAX CONSEQUENCES TO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the material U.S. federal income tax consequences of the Sale to the Company and its stockholders who hold their shares of common stock as a “capital asset” for U.S. federal income tax purposes, but does not purport to be a complete analysis of all the potential tax effects. The discussion addresses neither the tax consequences that may be relevant to particular categories of investors subject to special treatment under certain U.S. federal income tax laws (such as banks and other financial institutions, dealers in securities, insurance companies, traders in securities who elect to apply a mark-to-market method of accounting, tax-exempt organizations, entities or arrangements treated as partnerships for U.S. federal income tax purposes or holders of interests therein, persons who hold shares as part of a hedge, straddle, constructive sale or conversion transaction, persons who acquired their shares through the exercise of employee stock options or otherwise as compensation, former citizens or residents of the United States, foreign individuals and foreign entities, persons subject to the 3.8% “net investment income tax” under Section 1411 of the Code (defined below), “qualified foreign pension funds” as defined in Section 897(l)(2) of the Code (or any entities all of the interests of which are held by a qualified foreign pension fund), “U.S. stockholders” (as defined below) whose functional currency is not the U.S. dollar, “controlled foreign corporations,” “passive foreign investment companies” or corporations that accumulate earnings to avoid U.S. federal income tax, persons that actually or constructively own 5% or more (by vote or value) of any class of our shares, “real estate investment trusts” or “regulated investment companies”); nor any consequences arising under any U.S. federal estate or gift tax laws, under the laws of any state, local, or non-U.S. jurisdiction, any tax treaties or any other tax law other than U.S. federal income tax law, or the rules regarding qualified small business stock within the meaning of Section 1202 of the U.S. Internal Revenue Code of 1986, as amended (the “Code”). This summary also does not discuss the alternative minimum tax or the application of Section 451(b)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is based upon the Code, U.S. Department of Treasury regulations promulgated under the Code (the “Treasury Regulations”), administrative rulings, and judicial decisions now in effect, all of which are subject to change at any time, either prospectively or retrospectively, by legislative, administrative or judicial action. The following discussion has no binding effect on the IRS or the courts, and assumes that the Sale will be consummated in accordance with the Purchase Agreement. No ruling has been requested from the IRS with respect to the anticipated tax treatment of any of the transactions summarized herein, and the Company will not seek an opinion of counsel with respect to the anticipated tax treatment summarized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tax purposes holds shares of Company common stock, the tax treatment of a person treated as a partner in such partnership generally will depend on the status of the partner and the activities of the partnership. Partnerships holding the shares of Company common stock and partners in such partnerships should consult their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DISCUSSION IS FOR GENERAL INFORMATION ONLY AND DOES NOT CONSTITUTE AND MUST NOT BE CONSTRUED AS TAX ADVICE TO THE COMPANY STOCKHOLDERS. COMPANY STOCKHOLDERS ARE URGED TO CONSULT THEIR OWN TAX ADVISORS REGARDING THE TAX CONSEQUENCES TO THEM OF THE SALE, INCLUDING ALL ASPECTS OF U.S. FEDERAL, STATE, LOCAL, NON-U.S. AND OTHER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65" w:name="sa_034"/>
      <w:bookmarkEnd w:id="65"/>
      <w:r>
        <w:rPr>
          <w:rFonts w:ascii="Times New Roman;Times;Serif" w:hAnsi="Times New Roman;Times;Serif"/>
          <w:b w:val="false"/>
          <w:i/>
          <w:caps w:val="false"/>
          <w:smallCaps w:val="false"/>
          <w:sz w:val="20"/>
        </w:rPr>
        <w:t>Certain U.S. Federal Income Tax Consequences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consummated, the Company will be treated as selling the assets of the Target Companies (and any subsidiaries that are disregarded for U.S. federal tax purposes) and the equity interests of any subsidiaries that are (1) foreign corporations for U.S. federal tax purposes or (2) partnerships for U.S. federal tax purposes. The Sale will not be directly taxable to stockholders. Any gain or income from the Sale and the sale of certain other assets of the Company, to the extent such amounts exceed the Company’s tax attributes, will be taxable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 w:name="sa_035"/>
      <w:bookmarkEnd w:id="66"/>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sa_036"/>
      <w:bookmarkEnd w:id="67"/>
      <w:r>
        <w:rPr>
          <w:rFonts w:ascii="Times New Roman;Times;Serif" w:hAnsi="Times New Roman;Times;Serif"/>
          <w:b/>
          <w:i w:val="false"/>
          <w:caps w:val="false"/>
          <w:smallCaps w:val="false"/>
          <w:sz w:val="20"/>
        </w:rPr>
        <w:t>Related Person Transactions Approval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sa_037"/>
      <w:bookmarkEnd w:id="68"/>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 other than as set forth below. The following information is presented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$530,000. On December 15, 2025 the Consulting Agreement was further amended to increase the value of agreement by $250,000, increasing the total amount for original and amended agreements to $780,000. On January 1, 2026, the Consulting Agreement was further extended for a period of three months from the effective date of the extension in exchange for an additional amount of $500,000. For the three months ended March 31, 2026, $562,000, of this contract was recognized in general and administrative expenses on the unaudited condensed consolidated statement of operations and comprehensive loss and $20,000 was recognized as a prepaid expense in other current assets on the unaudited condensed consolidated balance sheets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 previously entered into commission arrangements with Mr. Bernstein, Mr. Ernst, Mr. Brown and Ms. Ward in connection with XpresTest’s pursuit of a government contract opportunity with the CDC for infectious disease testing services. Under the terms of the commission arrangements, after the consummation of the Sale, Mr. Bernstein, Mr. Ernst, Mr. Brown and Ms. Ward will be entitled to receive commissions based on profits, if any, generated by XpresTest under the CDC contract. Each of Mr. Bernstein, Mr. Ernst, Mr. Brown and Ms. Ward has waived his or her right to receive any commissions for any period during which XpresTest remains under the Company’s ownership prior to the closing of the Sale. To the extent that the CDC contract has not been terminated or fully performed prior to the closing of the Sale, these arrangements will transfer to the Buyer at the Closing as part of the Divestiture Group. For more information, see “</w:t>
      </w:r>
      <w:r>
        <w:rPr>
          <w:rFonts w:ascii="Times New Roman;Times;Serif" w:hAnsi="Times New Roman;Times;Serif"/>
          <w:b w:val="false"/>
          <w:i/>
          <w:caps w:val="false"/>
          <w:smallCaps w:val="false"/>
          <w:sz w:val="20"/>
        </w:rPr>
        <w:t>Proposal 1: The Sale Proposal—Interests of Directors and Executive Officers in the Sale—CDC Contract and Related Commission Arrangements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 w:name="sa_038"/>
      <w:bookmarkEnd w:id="69"/>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July 20, 2026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July 20, 2026,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4970"/>
        <w:gridCol w:w="60"/>
        <w:gridCol w:w="67"/>
        <w:gridCol w:w="973"/>
        <w:gridCol w:w="60"/>
        <w:gridCol w:w="60"/>
        <w:gridCol w:w="106"/>
        <w:gridCol w:w="859"/>
        <w:gridCol w:w="185"/>
        <w:gridCol w:w="60"/>
        <w:gridCol w:w="64"/>
        <w:gridCol w:w="526"/>
        <w:gridCol w:w="20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 or more beneficial owners: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 INV I, LLC</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Abbe</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sz w:val="20"/>
              </w:rPr>
            </w:pPr>
            <w:r>
              <w:rPr>
                <w:sz w:val="20"/>
              </w:rPr>
              <w:t>American Ventures LLC Series XXIV XWELL</w:t>
            </w:r>
            <w:r>
              <w:rPr>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sz w:val="20"/>
              </w:rPr>
            </w:pPr>
            <w:r>
              <w:rPr>
                <w:sz w:val="20"/>
              </w:rPr>
              <w:t>843,582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sz w:val="20"/>
              </w:rPr>
            </w:pPr>
            <w:r>
              <w:rPr>
                <w:sz w:val="20"/>
              </w:rPr>
              <w:t>9.99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sz w:val="20"/>
              </w:rPr>
            </w:pPr>
            <w:r>
              <w:rPr>
                <w:sz w:val="20"/>
              </w:rPr>
              <w:t>9.99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and named executive officers: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w:t>
            </w:r>
            <w:r>
              <w:rPr>
                <w:rFonts w:ascii="Times New Roman;Times;Serif" w:hAnsi="Times New Roman;Times;Serif"/>
                <w:b w:val="false"/>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Ian Brown</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 (6 persons)</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in the table above and in the following footnotes reflects information available to us as of July 20, 2026. A total of 8,471,766 shares of our Common Stock were issued and outstanding as of July 20, 2026. Shares of Common Stock that may be acquired by a person within 60 days of July 20, 2026 pursuant to the exercise of options or other rights are deemed outstanding for purposes of calculating the beneficial ownership percentage of such person, but not for purposes of calculating the beneficial ownership percentage of any other person.</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August 9, 2024 by XWEL INV I, LLC. XWEL INV I, LLC’s address is 400 Park Avenue, 4th Floor, New York, New York 10022.</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June 10, 2026 jointly by Iroquois Capital Management, LLC, Richard Abbe and Kimberly Page. The number of shares of Common Stock beneficially owned by Mr. Abbe consists of 354,467 shares held directly by Iroquois Master Fund Ltd. and 79,500 shares held directly by Iroquois Capital Investment Group LLC. Mr. Abbe shares voting and dispositive power over the shares held by Iroquois Master Fund Ltd. and has sole voting and dispositive power over the shares held by Iroquois Capital Investment Group LLC. The address of Mr. Abbe and the other reporting persons is 2 Overhill Road, Scarsdale, New York 10583.</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201,130 shares of Common Stock and/or vested shares of restricted stock and options to purchase up to 16,875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339,882 shares of Common Stock and/or vested shares of restricted stock and options to purchase up to 307,026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190,698 shares of Common Stock and/or vested shares of restricted stock and options to purchase up to 119,919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215,231 shares of Common Stock and/or vested shares of restricted stock and options to purchase up to 171,290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211,122 shares of Common Stock and/or vested shares of restricted stock and options to purchase up to 151,739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options to purchase up to 37,000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footnotes (4) through (9).</w:t>
            </w:r>
          </w:p>
        </w:tc>
      </w:tr>
      <w:tr>
        <w:trPr/>
        <w:tc>
          <w:tcPr>
            <w:tcW w:w="309" w:type="dxa"/>
            <w:tcBorders/>
            <w:vAlign w:val="center"/>
          </w:tcPr>
          <w:p>
            <w:pPr>
              <w:pStyle w:val="TableContents"/>
              <w:bidi w:val="0"/>
              <w:spacing w:before="0" w:after="283"/>
              <w:jc w:val="both"/>
              <w:rPr>
                <w:sz w:val="20"/>
              </w:rPr>
            </w:pPr>
            <w:r>
              <w:rPr>
                <w:sz w:val="20"/>
              </w:rPr>
              <w:t>(11)</w:t>
            </w:r>
          </w:p>
        </w:tc>
        <w:tc>
          <w:tcPr>
            <w:tcW w:w="9896" w:type="dxa"/>
            <w:tcBorders/>
            <w:vAlign w:val="center"/>
          </w:tcPr>
          <w:p>
            <w:pPr>
              <w:pStyle w:val="TableContents"/>
              <w:bidi w:val="0"/>
              <w:spacing w:before="0" w:after="283"/>
              <w:jc w:val="both"/>
              <w:rPr>
                <w:sz w:val="20"/>
              </w:rPr>
            </w:pPr>
            <w:r>
              <w:rPr>
                <w:sz w:val="20"/>
              </w:rPr>
              <w:t>On February 24, 2026, the Company entered into a securities purchase agreement with American Ventures LLC Series XXIV XWELL for the issuance and sale in a private placement of an aggregate of (i) 31,333 shares of the Company’s newly-designated Series H Convertible Preferred Stock and (ii) warrants to purchase up to 66,666,669 shares of Common Stock. American Ventures LLC Series XXIV XWELL has also agreed in its Support Agreement to increase its maximum beneficial ownership threshold under its Series H Convertible Preferred Stock to 9.99% and to convert its Series H Preferred into shares of the Company’s Common Stock prior to the Record Date. The number of shares of Common Stock beneficially owned represents such number of shares equal to 9.99% of the total shares of Common Stock outstanding as of July 20, 2026. Eric Newman, as manager of American Ventures LLC Series XXIV XWELL, has voting and dispositive control with respect to the securities being offered. As such, Eric Newman may be deemed to be the beneficial owner (as determined under Section 13(d) of the Exchange Act) of the securities held by American Ventures LLC Series XXIV XWELL. The address of American Ventures LLC Series XXIV XWELL is 3835 PGA Blvd, Suite 103, Palm Beach Gardens, FL 33410.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0" w:name="sa_039"/>
      <w:bookmarkEnd w:id="70"/>
      <w:r>
        <w:rPr>
          <w:rFonts w:ascii="Times New Roman;Times;Serif" w:hAnsi="Times New Roman;Times;Serif"/>
          <w:b/>
          <w:i w:val="false"/>
          <w:caps/>
          <w:sz w:val="20"/>
        </w:rPr>
        <w:t>Other Matters</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Proposal 1, Proposal 2, Proposal 3, and Proposal 4 no other business is expected to be brought before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 w:name="sa_040"/>
      <w:bookmarkEnd w:id="71"/>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 w:name="sa_041"/>
      <w:bookmarkEnd w:id="72"/>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stockholders share an address, we may send a single copy of this Proxy Statement, the proxy card and the notice, to the shared address, unless we have received contrary instructions from one or more of such stockholders sharing the address. Additionally, we will promptly send a separate copy of this Proxy Statement, the proxy card and the notice,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1-833-215-7321. If any stockholders sharing an address receive multiple copies of this Proxy Statement, the proxy card, the notice or other proxy materials, such stockholders may make such request to our Corporate Secretary at the same address or telephone number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3" w:name="sa_042"/>
      <w:bookmarkEnd w:id="73"/>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may also find our SEC filings in the “SEC Filings” section of the “Investors” section of our website at </w:t>
      </w:r>
      <w:r>
        <w:rPr>
          <w:rFonts w:ascii="Times New Roman;Times;Serif" w:hAnsi="Times New Roman;Times;Serif"/>
          <w:b w:val="false"/>
          <w:i/>
          <w:caps w:val="false"/>
          <w:smallCaps w:val="false"/>
          <w:sz w:val="20"/>
          <w:u w:val="single"/>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75"/>
        <w:gridCol w:w="3695"/>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A</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Agreement</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B</w:t>
            </w:r>
          </w:p>
        </w:tc>
        <w:tc>
          <w:tcPr>
            <w:tcW w:w="3695" w:type="dxa"/>
            <w:tcBorders/>
            <w:vAlign w:val="center"/>
          </w:tcPr>
          <w:p>
            <w:pPr>
              <w:pStyle w:val="TableContents"/>
              <w:bidi w:val="0"/>
              <w:spacing w:before="0" w:after="283"/>
              <w:jc w:val="both"/>
              <w:rPr/>
            </w:pPr>
            <w:r>
              <w:rPr/>
              <w:t>Limited Guaranty</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C</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 of the Company’s Financial Advisor</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D</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Historical Financial Statements</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E</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Proxy Card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74" w:name="ANNEX_A"/>
      <w:bookmarkEnd w:id="74"/>
      <w:r>
        <w:rPr>
          <w:b/>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br/>
        <w:br/>
        <w:t>by and among</w:t>
        <w:br/>
        <w:br/>
      </w:r>
      <w:r>
        <w:rPr>
          <w:rFonts w:ascii="Times New Roman;Times;Serif" w:hAnsi="Times New Roman;Times;Serif"/>
          <w:b w:val="false"/>
          <w:i w:val="false"/>
          <w:caps/>
          <w:sz w:val="20"/>
        </w:rPr>
        <w:t>XPRESSPA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XPRESTEST,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br/>
        <w:br/>
      </w:r>
      <w:r>
        <w:rPr>
          <w:rFonts w:ascii="Times New Roman;Times;Serif" w:hAnsi="Times New Roman;Times;Serif"/>
          <w:b w:val="false"/>
          <w:i w:val="false"/>
          <w:caps/>
          <w:sz w:val="20"/>
        </w:rPr>
        <w:t>Express Wellness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Dated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409" w:type="dxa"/>
        <w:jc w:val="left"/>
        <w:tblInd w:w="0" w:type="dxa"/>
        <w:tblLayout w:type="fixed"/>
        <w:tblCellMar>
          <w:top w:w="0" w:type="dxa"/>
          <w:left w:w="0" w:type="dxa"/>
          <w:bottom w:w="0" w:type="dxa"/>
          <w:right w:w="0" w:type="dxa"/>
        </w:tblCellMar>
      </w:tblPr>
      <w:tblGrid>
        <w:gridCol w:w="626"/>
        <w:gridCol w:w="7253"/>
        <w:gridCol w:w="530"/>
      </w:tblGrid>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CERTAIN DEFINITIONS</w:t>
            </w:r>
          </w:p>
        </w:tc>
        <w:tc>
          <w:tcPr>
            <w:tcW w:w="530" w:type="dxa"/>
            <w:tcBorders/>
            <w:vAlign w:val="center"/>
          </w:tcPr>
          <w:p>
            <w:pPr>
              <w:pStyle w:val="TableContents"/>
              <w:bidi w:val="0"/>
              <w:spacing w:before="0" w:after="283"/>
              <w:jc w:val="right"/>
              <w:rPr/>
            </w:pPr>
            <w:r>
              <w:rPr/>
              <w:t>A-6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530" w:type="dxa"/>
            <w:tcBorders/>
            <w:vAlign w:val="center"/>
          </w:tcPr>
          <w:p>
            <w:pPr>
              <w:pStyle w:val="TableContents"/>
              <w:bidi w:val="0"/>
              <w:spacing w:before="0" w:after="283"/>
              <w:jc w:val="right"/>
              <w:rPr/>
            </w:pPr>
            <w:r>
              <w:rPr/>
              <w:t>A-6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23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THE SALE</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253" w:type="dxa"/>
            <w:tcBorders/>
            <w:vAlign w:val="center"/>
          </w:tcPr>
          <w:p>
            <w:pPr>
              <w:pStyle w:val="TableContents"/>
              <w:bidi w:val="0"/>
              <w:spacing w:before="0" w:after="283"/>
              <w:jc w:val="left"/>
              <w:rPr/>
            </w:pPr>
            <w:r>
              <w:rPr/>
              <w:t>Purchase of Purchased Equity</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Calculation and Payment of Estimated Purchase Price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28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XpresTest Equity Awards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Non-U.S. Security Deposit Payments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 REGARDING THE COMPANY GROUP</w:t>
            </w:r>
          </w:p>
        </w:tc>
        <w:tc>
          <w:tcPr>
            <w:tcW w:w="530" w:type="dxa"/>
            <w:tcBorders/>
            <w:vAlign w:val="center"/>
          </w:tcPr>
          <w:p>
            <w:pPr>
              <w:pStyle w:val="TableContents"/>
              <w:bidi w:val="0"/>
              <w:spacing w:before="0" w:after="283"/>
              <w:jc w:val="right"/>
              <w:rPr/>
            </w:pPr>
            <w:r>
              <w:rPr/>
              <w:t>A-36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 </w:t>
            </w:r>
          </w:p>
        </w:tc>
        <w:tc>
          <w:tcPr>
            <w:tcW w:w="7253" w:type="dxa"/>
            <w:tcBorders/>
            <w:vAlign w:val="center"/>
          </w:tcPr>
          <w:p>
            <w:pPr>
              <w:pStyle w:val="TableContents"/>
              <w:bidi w:val="0"/>
              <w:spacing w:before="0" w:after="283"/>
              <w:jc w:val="left"/>
              <w:rPr/>
            </w:pPr>
            <w:r>
              <w:rPr/>
              <w:t>Organization; Authority and Enforceability; No Conflict</w:t>
            </w:r>
          </w:p>
        </w:tc>
        <w:tc>
          <w:tcPr>
            <w:tcW w:w="530" w:type="dxa"/>
            <w:tcBorders/>
            <w:vAlign w:val="center"/>
          </w:tcPr>
          <w:p>
            <w:pPr>
              <w:pStyle w:val="TableContents"/>
              <w:bidi w:val="0"/>
              <w:spacing w:before="0" w:after="283"/>
              <w:jc w:val="right"/>
              <w:rPr/>
            </w:pPr>
            <w:r>
              <w:rPr/>
              <w:t>A-36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vAlign w:val="center"/>
          </w:tcPr>
          <w:p>
            <w:pPr>
              <w:pStyle w:val="TableContents"/>
              <w:bidi w:val="0"/>
              <w:spacing w:before="0" w:after="283"/>
              <w:jc w:val="right"/>
              <w:rPr/>
            </w:pPr>
            <w:r>
              <w:rPr/>
              <w:t>A-38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Developments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42</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47</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3.9.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Rights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Technology, Privacy, and Data Security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Warranty; Inventories; Product Liability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66</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7059" w:type="dxa"/>
        <w:jc w:val="left"/>
        <w:tblInd w:w="0" w:type="dxa"/>
        <w:tblLayout w:type="fixed"/>
        <w:tblCellMar>
          <w:top w:w="0" w:type="dxa"/>
          <w:left w:w="0" w:type="dxa"/>
          <w:bottom w:w="0" w:type="dxa"/>
          <w:right w:w="0" w:type="dxa"/>
        </w:tblCellMar>
      </w:tblPr>
      <w:tblGrid>
        <w:gridCol w:w="507"/>
        <w:gridCol w:w="6022"/>
        <w:gridCol w:w="530"/>
      </w:tblGrid>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Sufficiency of Assets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ACDBE and Local Partner Joint Ventures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 Permits, and Public Health/Safety Compliance (Spa Services)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XpresTest Regulatory Compliance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 and Services Liability; Consumer Protection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Waivers; Participant Agreements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3.28.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Gift Cards; Loyalty Programs; Memberships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 Products Import &amp; Distribution Co., LLC</w:t>
            </w:r>
          </w:p>
        </w:tc>
        <w:tc>
          <w:tcPr>
            <w:tcW w:w="530" w:type="dxa"/>
            <w:tcBorders/>
            <w:vAlign w:val="center"/>
          </w:tcPr>
          <w:p>
            <w:pPr>
              <w:pStyle w:val="TableContents"/>
              <w:bidi w:val="0"/>
              <w:spacing w:before="0" w:after="283"/>
              <w:jc w:val="right"/>
              <w:rPr/>
            </w:pPr>
            <w:r>
              <w:rPr/>
              <w:t>A-75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3.31.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REPRESENTATIONS AND WARRANTIES REGARDING SELLER</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Consents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REPRESENTATIONS AND WARRANTIES OF BUYER</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 No Conflict</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5.7.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84</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COVENANTS AND AGREEMENTS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85</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549" w:type="dxa"/>
        <w:jc w:val="left"/>
        <w:tblInd w:w="0" w:type="dxa"/>
        <w:tblLayout w:type="fixed"/>
        <w:tblCellMar>
          <w:top w:w="0" w:type="dxa"/>
          <w:left w:w="0" w:type="dxa"/>
          <w:bottom w:w="0" w:type="dxa"/>
          <w:right w:w="0" w:type="dxa"/>
        </w:tblCellMar>
      </w:tblPr>
      <w:tblGrid>
        <w:gridCol w:w="548"/>
        <w:gridCol w:w="5396"/>
        <w:gridCol w:w="605"/>
      </w:tblGrid>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to Consummate; Further Assurances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85</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Information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by the Company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Tail Policies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6.7.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6.8.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Negotiation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6.9.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Proxy Statement; Stockholder Meeting</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6.10.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Covenants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Reorganization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Wrong Pockets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Certain Events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Arbitration Award</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Name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CONDITIONS TO CLOSING</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Mutual Conditions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Buyer</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Seller and the Companies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Termination Fee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Termination Fee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SURVIVAL OF REPRESENTATIONS; INDEMNIFICATION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Purchase Price; Set-off</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133</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495" w:type="dxa"/>
        <w:jc w:val="left"/>
        <w:tblInd w:w="0" w:type="dxa"/>
        <w:tblLayout w:type="fixed"/>
        <w:tblCellMar>
          <w:top w:w="0" w:type="dxa"/>
          <w:left w:w="0" w:type="dxa"/>
          <w:bottom w:w="0" w:type="dxa"/>
          <w:right w:w="0" w:type="dxa"/>
        </w:tblCellMar>
      </w:tblPr>
      <w:tblGrid>
        <w:gridCol w:w="590"/>
        <w:gridCol w:w="5300"/>
        <w:gridCol w:w="605"/>
      </w:tblGrid>
      <w:tr>
        <w:trPr/>
        <w:tc>
          <w:tcPr>
            <w:tcW w:w="58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MISCELLANEOUS</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Waiver of Jury Trial.</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Successors and Assigns; No Third Party Rights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137</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Delivery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 and Headings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10.10.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Strict Construction; Mutual Drafting; Certain Understandings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140</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10.14.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or Indulgence not Waiver</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142</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Accounting Principles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Escrow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Transition Services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Allocation Schedule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SECURITIES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dated July 6, 2026, is by and among XWELL,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Express Wellness Group,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XpresSpa is engaged in the business of operating a network of retail spa locations in airports, offering travelers premium spa services, including massage, nail and skin care, as well as spa and travel products (the “</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(b) XpresTest is engaged in the business of conducting bio surveillance monitoring, including aircraft wastewater sampling and passenger nasal sampling, and multi-pathogen testing across collection locations at airports (the “</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and, together with the XpresSpa Airport Business,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Subsidiaries of Seller are engaged in the business of operating health and wellness retail locations outside of airports (all such business conducted outside of airports, the “</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which the parties intend to be retained by Seller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owns of record and beneficially the equity interests of each of XpresSpa and XpresTest as set forth on Schedule 3.2(a) (such equity interests of XpresSpa and XpresTest, collectively, the “</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to Buyer and Buyer desires to acquire from Seller, all of the Purchased Equity, pursuant to and in accordance with the purchase, sale and related transactions described in this Agreement and on the terms and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simultaneously with the execution and delivery of this Agreement, as a material inducement for Seller to enter into this Agreement, Buyer is delivering to Seller a limited guaranty (the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of Face Haus LLC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pursuant to which the Guarantor has agreed, on the terms and subject to the conditions therein, to guarantee, among other things, certain of the obligations of Buyer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mutual representations, warranties and covenants contained herein, and intending to be legally bound,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b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caps w:val="false"/>
          <w:smallCaps w:val="false"/>
          <w:sz w:val="20"/>
        </w:rPr>
        <w:t>Certain 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 confidentiality agreement that is either (i) in effect as of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or (ii) executed, delivered and effective after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and containing confidentiality provisions and a “non-solicitation” provision, in each case, (x) that is no less favorable to Seller, in the aggregate and in any material respect, than those set forth in the Confidentiality Agreement, and (y) that permits the sharing of information by Seller to Buyer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xml:space="preserve">” means the accounting policies, methods, principles, past practices, techniques, calculations, procedures, classifications, conventions, definitions, judgments, assumptions, methodologies, evaluation rules and procedures, estimation methods and bases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Income Taxes</w:t>
      </w:r>
      <w:r>
        <w:rPr>
          <w:rFonts w:ascii="Times New Roman;Times;Serif" w:hAnsi="Times New Roman;Times;Serif"/>
          <w:b w:val="false"/>
          <w:i w:val="false"/>
          <w:caps w:val="false"/>
          <w:smallCaps w:val="false"/>
          <w:sz w:val="20"/>
        </w:rPr>
        <w:t xml:space="preserve">” means an amount (which shall not be less than zero with respect to any particular jurisdiction and, in the aggregate, shall not be less than zero and shall be calculated separately for each applicable jurisdiction and on an entity-by-entity basis (i.e., deductions and losses of one entity may not be used to offset income and gain of another entity unless such offset actually reduces the Taxes of such other entity or is required under an applicable consolidated, combined or unitary Income Tax Return)) equal to the sum of the unpaid Income Taxes of each Company and its respective Subsidiaries, in each case, as of the Closing Date, for the taxable period ended on December 31, 2025 (to the extent not paid as of the Closing) or the taxable period (or portion thereof) ending on and including the Closing Date or any other taxable period where the period for the payment of Taxes has been extended to on or after the Closing Date, solely for the jurisdictions in which each Company and its Subsidiaries, as the case may be, filed Income Tax Returns in the most recent applicable Tax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calculated (i) in accordance with past practice (including reporting positions, jurisdictions, elections and accounting and valuation methods) of each Company and its Subsidiaries, as the case may be, in preparing Income Tax Returns (except as required under applicable Tax Law or otherwise provided in this definition), (ii) by treating the Closing Date as the final day of the taxable year of each Company and each of its Subsidiaries, and consistent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for each amount of accruals for Taxes for the portion of any Straddle Period that is a Pre-Closing Tax Period, (iii) by excluding all deferred Tax liabilities and deferred Tax assets (including any Tax refunds, receivables, or credits except to the extent, without duplication with Section 6.7(i), that any such tax refund, receivable, or credit relates to a pre-closing overpayment of current Taxes), (iv) by including in taxable income any amount resulting from any adjustment pursuant to (A) Section 481 of the Code (or any corresponding or similar provision of state, local or non-U.S. Law), and any prepaid amounts and deferred revenue received or attributable to any Pre-Closing Tax Period, in each case, which would not otherwise be included in taxable income in the Pre-Closing Tax Period, or (B) any Taxes payable in a Straddle Period after the Closing Date pursuant to Sections 951 and 951A of the Code by a direct, indirect or constructive shareholder of the Company and/or any of its Subsidiaries that are attributable to the pre-closing portion of such Straddle Period, and (C) any Taxes attributable to a direct or indirect owner of the Company and/or any of its Subsidiaries, but required to be paid or withheld by any Company and/or any of its Subsidiaries in respect of such direct or indirect owner (such as Taxes payable on U.S. state composite Tax Returns) and any withholding pursuant to Section 1446(a) (and, if applicable, Section 1446(f)) of the Code and (v) by taking into account any net operating losses or other Tax attributes of the Company actually available in the Pre-Closing Tax Period to actually offset income of such Company solely with respect to an applicable Pre-Closing Tax Period.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Trademarks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claim, complaint, audit, disclosed investigation, petition, suit, arbitration, mediation or other formal proceeding, whether administrative, civil or criminal, at law or in equity by or before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Adjustment</w:t>
      </w:r>
      <w:r>
        <w:rPr>
          <w:rFonts w:ascii="Times New Roman;Times;Serif" w:hAnsi="Times New Roman;Times;Serif"/>
          <w:b w:val="false"/>
          <w:i w:val="false"/>
          <w:caps w:val="false"/>
          <w:smallCaps w:val="false"/>
          <w:sz w:val="20"/>
        </w:rPr>
        <w:t xml:space="preserve">” means (x) the Purchase Price as set forth on the Final Statement of Purchase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Estimated Purchase Price, which, for the avoidance of doubt, may be a negative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Buyer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Buyer in writing that, to the actual Knowledge of Buyer (disregarding, for this purpose, any standard of inquiry set forth in such definition), is false and is made solely for the purpose of inducing Seller to act or refrain from acting, and upon which Seller actually and reasonably relies with resulting Losses that are directly caused by such reliance. For the avoidance of doubt, Actual Buyer Fraud shall not include any claim for constructive fraud, promissory fraud, equitable fraud, fraud by reckless or negligent misrepresentations or any tort based on negligence or recklessness, in each case, of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Fraud</w:t>
      </w:r>
      <w:r>
        <w:rPr>
          <w:rFonts w:ascii="Times New Roman;Times;Serif" w:hAnsi="Times New Roman;Times;Serif"/>
          <w:b w:val="false"/>
          <w:i w:val="false"/>
          <w:caps w:val="false"/>
          <w:smallCaps w:val="false"/>
          <w:sz w:val="20"/>
        </w:rPr>
        <w:t>” means, as the context requires, Actual Buyer Fraud or Actual Seller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Seller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Seller or any Company that, to the actual Knowledge of Seller or any Company (disregarding, for this purpose, any standard of inquiry set forth in such definition), is false and is made solely for the purpose of inducing Buyer to act or refrain from acting, and upon which Buyer actually and reasonably relies with resulting Losses to Buyer that are directly caused by such reliance. For the avoidance of doubt, Actual Seller Fraud shall not include any claim for constructive fraud, promissory fraud, equitable fraud, fraud by reckless or negligent misrepresentations or any tort based on negligence or recklessness, in each case, of any Seller or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 For the avoidance of doubt, no member of the Company Group shall be considered an Affiliate of Seller as of immediately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Securities Purchase Agreement, as it may be amended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Certificate of Designations</w:t>
      </w:r>
      <w:r>
        <w:rPr>
          <w:rFonts w:ascii="Times New Roman;Times;Serif" w:hAnsi="Times New Roman;Times;Serif"/>
          <w:b w:val="false"/>
          <w:i w:val="false"/>
          <w:caps w:val="false"/>
          <w:smallCaps w:val="false"/>
          <w:sz w:val="20"/>
        </w:rPr>
        <w:t>” means the certificate of designations governing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Conversion Shares</w:t>
      </w:r>
      <w:r>
        <w:rPr>
          <w:rFonts w:ascii="Times New Roman;Times;Serif" w:hAnsi="Times New Roman;Times;Serif"/>
          <w:b w:val="false"/>
          <w:i w:val="false"/>
          <w:caps w:val="false"/>
          <w:smallCaps w:val="false"/>
          <w:sz w:val="20"/>
        </w:rPr>
        <w:t>” means the shares of Common Stock issuable to American Ventures LLC Series XXIV XWELL upon conversion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Preferred Stock</w:t>
      </w:r>
      <w:r>
        <w:rPr>
          <w:rFonts w:ascii="Times New Roman;Times;Serif" w:hAnsi="Times New Roman;Times;Serif"/>
          <w:b w:val="false"/>
          <w:i w:val="false"/>
          <w:caps w:val="false"/>
          <w:smallCaps w:val="false"/>
          <w:sz w:val="20"/>
        </w:rPr>
        <w:t>” means the Series H Convertible Preferred Stock, par value $0.01 per share, of Seller held by American Ventures LLC Series XXIV XWELL, which is convertible into shares of Common Stock in accordance with and subject to the terms of the AV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Support Agreement</w:t>
      </w:r>
      <w:r>
        <w:rPr>
          <w:rFonts w:ascii="Times New Roman;Times;Serif" w:hAnsi="Times New Roman;Times;Serif"/>
          <w:b w:val="false"/>
          <w:i w:val="false"/>
          <w:caps w:val="false"/>
          <w:smallCaps w:val="false"/>
          <w:sz w:val="20"/>
        </w:rPr>
        <w:t>” means the Support Agreement, dated as of the date of this Agreement, between American Ventures LLC Series XXIV XWELL and Buyer relating to the conversion and voting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Thirteen Million Dollars ($13,000,000).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each “employee benefit plan” (as such term is defined in ERISA section 3(3), whether or not subject to ERISA), any pension, retirement, equity or equity-based compensation, profit sharing, savings, bonus, incentive, commission, employment, consulting, stock option or stock purchase, severance, change in control, retention, reimbursement, deferred compensation, welfare, accident, disability, health, salary continuation, vacation, sick pay or paid time off, leave of absence, fringe benefit, and any other benefit or compensation plan, program, policy, agreement, contract, or arrangement, whether written or unwritten.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Biometric Data</w:t>
      </w:r>
      <w:r>
        <w:rPr>
          <w:rFonts w:ascii="Times New Roman;Times;Serif" w:hAnsi="Times New Roman;Times;Serif"/>
          <w:b w:val="false"/>
          <w:i w:val="false"/>
          <w:caps w:val="false"/>
          <w:smallCaps w:val="false"/>
          <w:sz w:val="20"/>
        </w:rPr>
        <w:t>” means: (i) data that depicts or describes the physical or biological traits of an identified or identifiable person, including depictions (including images), descriptions, recordings, or copies of an individual’s facial or other physical features (e.g., iris/retina scans), finger or handprints, voice, genetics, or characteristic movements or gestures (e.g., gait or typing pattern); and/or (ii) any information defined as “biometric data,” “biometric identifiers,” or “biometric information” under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on which commercial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Time</w:t>
      </w:r>
      <w:r>
        <w:rPr>
          <w:rFonts w:ascii="Times New Roman;Times;Serif" w:hAnsi="Times New Roman;Times;Serif"/>
          <w:b w:val="false"/>
          <w:i w:val="false"/>
          <w:caps w:val="false"/>
          <w:smallCaps w:val="false"/>
          <w:sz w:val="20"/>
        </w:rPr>
        <w:t>” means 11:59 pm Eastern time on the date that is immediately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means (i) all cash and cash equivalents of any kind, expressed in United States dollars (including (x) bank account balances, (y) marketable securities convertible into cash within thirty (30) days, and (z) certificates of deposit and other short term investments) and, to the extent not included in the calculation of current assets for purposes of calculating Closing Net Working Capital, deposits in transit, any received and uncleared checks, wires or drafts,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any outstanding outgoing checks, wires or drafts (but only to the extent not included in the calculation of current liabilities for purposes of calculating Closing Net Working Capital), in each case of clauses (i) and (ii), as determined in accordance with GAAP. Notwithstanding anything herein to the contrary, (a) Cash and Cash Equivalents shall include (A) Eligible Security Deposits, (B) cash held as collateral in respect of letters of credit, surety bonds, bank guarantees or performance bonds with respect to the business of the Company Group in the United States, and (C) cash in bank accounts of the Company Group located outside of the United States (clauses (A)-(C), collectively, the “</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and (b) Cash and Cash Equivalents shall exclude (A) any security deposits of the Company Group held by landlords or other third parties which are not Eligible Security Deposits, and (B) cash held as collateral in respect of letters of credit, surety bonds, bank guarantees or performance bonds with respect to the business of the Company Group outside of the United States.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(Ex-U.S.)</w:t>
      </w:r>
      <w:r>
        <w:rPr>
          <w:rFonts w:ascii="Times New Roman;Times;Serif" w:hAnsi="Times New Roman;Times;Serif"/>
          <w:b w:val="false"/>
          <w:i w:val="false"/>
          <w:caps w:val="false"/>
          <w:smallCaps w:val="false"/>
          <w:sz w:val="20"/>
        </w:rPr>
        <w:t>” means Five Hundred Thousand Fifty U.S. Dollars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(U.S.)</w:t>
      </w:r>
      <w:r>
        <w:rPr>
          <w:rFonts w:ascii="Times New Roman;Times;Serif" w:hAnsi="Times New Roman;Times;Serif"/>
          <w:b w:val="false"/>
          <w:i w:val="false"/>
          <w:caps w:val="false"/>
          <w:smallCaps w:val="false"/>
          <w:sz w:val="20"/>
        </w:rPr>
        <w:t>” means Two Million U.S. Dollars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w:t>
      </w:r>
      <w:r>
        <w:rPr>
          <w:rFonts w:ascii="Times New Roman;Times;Serif" w:hAnsi="Times New Roman;Times;Serif"/>
          <w:b w:val="false"/>
          <w:i w:val="false"/>
          <w:caps w:val="false"/>
          <w:smallCaps w:val="false"/>
          <w:sz w:val="20"/>
        </w:rPr>
        <w:t xml:space="preserve">” means (i) Cash and Cash Equivalents of the Company Group as of the Calculation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Restricted Cash as of the Calculation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Closing Cash shall not be less than zero, (y) the amount of cash held in U.S. bank accounts of the Company Group included in the calculation of Closing Cash shall not exceed the Cash Cap (U.S.), and (z) the amount of cash held in non-U.S. bank accounts of the Company Group included in the calculation of Closing Cash shall not exceed the Cash Cap (Ex-U.S.).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Funded Indebtedness</w:t>
      </w:r>
      <w:r>
        <w:rPr>
          <w:rFonts w:ascii="Times New Roman;Times;Serif" w:hAnsi="Times New Roman;Times;Serif"/>
          <w:b w:val="false"/>
          <w:i w:val="false"/>
          <w:caps w:val="false"/>
          <w:smallCaps w:val="false"/>
          <w:sz w:val="20"/>
        </w:rPr>
        <w:t>” means the Funded Indebtedness of the Company Group as of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w:t>
      </w:r>
      <w:r>
        <w:rPr>
          <w:rFonts w:ascii="Times New Roman;Times;Serif" w:hAnsi="Times New Roman;Times;Serif"/>
          <w:b w:val="false"/>
          <w:i w:val="false"/>
          <w:caps w:val="false"/>
          <w:smallCaps w:val="false"/>
          <w:sz w:val="20"/>
        </w:rPr>
        <w:t>” means (a) the Closing Date Funded Indebtedness and (b) all other Indebtedness as immediately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Net Working Capital</w:t>
      </w:r>
      <w:r>
        <w:rPr>
          <w:rFonts w:ascii="Times New Roman;Times;Serif" w:hAnsi="Times New Roman;Times;Serif"/>
          <w:b w:val="false"/>
          <w:i w:val="false"/>
          <w:caps w:val="false"/>
          <w:smallCaps w:val="false"/>
          <w:sz w:val="20"/>
        </w:rPr>
        <w:t>” means Net Working Capital as of the Calculation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Part 6 of Subtitle B of Title I of ERISA, section 4980B of the Code and any similar state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Collar Amount</w:t>
      </w:r>
      <w:r>
        <w:rPr>
          <w:rFonts w:ascii="Times New Roman;Times;Serif" w:hAnsi="Times New Roman;Times;Serif"/>
          <w:b w:val="false"/>
          <w:i w:val="false"/>
          <w:caps w:val="false"/>
          <w:smallCaps w:val="false"/>
          <w:sz w:val="20"/>
        </w:rPr>
        <w:t>” means One Hundred Fifty Thousand Dollars ($150,000).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$0.01 per share, of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have the meanings set forth in the preamble hereto.</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means any Benefit Plan (a) that is sponsored or maintained by any of the Companies, (b) that are required to be transferred to Buyer or any of its Affiliates by operation of Law, or (c) that are otherwise designated as Company Benefit Plans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or otherwise held by or on behalf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means, individually or collectively (as context dictates, including interpreted as “any member of the Company Group” or the “members of the Company Group”), each Company and each of the Persons set forth on </w:t>
      </w:r>
      <w:r>
        <w:rPr>
          <w:rFonts w:ascii="Times New Roman;Times;Serif" w:hAnsi="Times New Roman;Times;Serif"/>
          <w:b w:val="false"/>
          <w:i w:val="false"/>
          <w:caps w:val="false"/>
          <w:smallCaps w:val="false"/>
          <w:sz w:val="20"/>
          <w:u w:val="single"/>
        </w:rPr>
        <w:t>Annex 1.1-A</w:t>
      </w:r>
      <w:r>
        <w:rPr>
          <w:rFonts w:ascii="Times New Roman;Times;Serif" w:hAnsi="Times New Roman;Times;Serif"/>
          <w:b w:val="false"/>
          <w:i w:val="false"/>
          <w:caps w:val="false"/>
          <w:smallCaps w:val="false"/>
          <w:sz w:val="20"/>
        </w:rPr>
        <w:t xml:space="preserve"> (which Persons comprise all of the Subsidiaries of each Company, other than the Retained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Security Breach(es)</w:t>
      </w:r>
      <w:r>
        <w:rPr>
          <w:rFonts w:ascii="Times New Roman;Times;Serif" w:hAnsi="Times New Roman;Times;Serif"/>
          <w:b w:val="false"/>
          <w:i w:val="false"/>
          <w:caps w:val="false"/>
          <w:smallCaps w:val="false"/>
          <w:sz w:val="20"/>
        </w:rPr>
        <w:t>” means any (i) breach of security, phishing incident, ransomware or malware attack of any Systems owned by or under the control of the Company Group, (ii) unlawful or unauthorized access to, acquisition of, disclosure, use, loss, denial or loss of use, alteration, exfiltration, destruction, compromise, or unauthorized Processing of Company Data, including Personal Information, in the possession or control of the Company Group, or (iii) any other act or omission that compromises the security, integrity, or confidentiality of Company Data, including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to be obtained by Buyer for purposes of funding a portion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means the Persons providing the Debt Financing, together with their and their Affiliates’ respective controlling partners, officers, directors, members, managers, employees, advisors, agents, attorneys, representatives and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Security Deposits</w:t>
      </w:r>
      <w:r>
        <w:rPr>
          <w:rFonts w:ascii="Times New Roman;Times;Serif" w:hAnsi="Times New Roman;Times;Serif"/>
          <w:b w:val="false"/>
          <w:i w:val="false"/>
          <w:caps w:val="false"/>
          <w:smallCaps w:val="false"/>
          <w:sz w:val="20"/>
        </w:rPr>
        <w:t xml:space="preserve">” means, subject to Section 6.1(g) the security deposits held by landlords pursuant to Real Property Leases to which a member of the Company Group is party with respect to Leased Real Property located in the United States, excluding security deposits held by landlords with respect to any Real Property Lease to which a Retained Entity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Required Lease Consent is not obtained prior to Closing, then any security deposit held in respect of the corresponding Consent Lease shall be excluded from Eligible Security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Laws of any jurisdiction issued or promulgated by any Governmental Authority, relating to the protection of the environment (including ambient air, surface water, groundwater, and surface or subsurface land), natural resources, threatened and endangered species, or the protection of human health as it relates to exposure to Hazardous Materials, including Laws relating to the presence of Hazardous Materials in products or product packaging or to the disposal, recycling or other management of packaging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together with either Company or any of its Subsidiaries, is (or at any relevant time has been) considered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Ex-U.S. Minimum Cash Amount</w:t>
      </w:r>
      <w:r>
        <w:rPr>
          <w:rFonts w:ascii="Times New Roman;Times;Serif" w:hAnsi="Times New Roman;Times;Serif"/>
          <w:b w:val="false"/>
          <w:i w:val="false"/>
          <w:caps w:val="false"/>
          <w:smallCaps w:val="false"/>
          <w:sz w:val="20"/>
        </w:rPr>
        <w:t>” means Two Hundred Fifty Thousand U.S. Dollars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any Seller Benefit Plan or Company Benefit Plan that is subject to the applicable Laws of a jurisdiction other than the United States (whether or not United States Law also applies) or primarily for the benefit of employees or other individual service providers of the Company Group who reside or work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solely set forth in </w:t>
      </w:r>
      <w:r>
        <w:rPr>
          <w:rFonts w:ascii="Times New Roman;Times;Serif" w:hAnsi="Times New Roman;Times;Serif"/>
          <w:b w:val="false"/>
          <w:i w:val="false"/>
          <w:caps w:val="false"/>
          <w:smallCaps w:val="false"/>
          <w:sz w:val="20"/>
          <w:u w:val="single"/>
        </w:rPr>
        <w:t>Section 3.1(a)-(e)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Organization; Authority and Enforceability;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(but only with respect to the first sentence thereof),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(Related Party Transactions),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 No Conflict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Indebtedness</w:t>
      </w:r>
      <w:r>
        <w:rPr>
          <w:rFonts w:ascii="Times New Roman;Times;Serif" w:hAnsi="Times New Roman;Times;Serif"/>
          <w:b w:val="false"/>
          <w:i w:val="false"/>
          <w:caps w:val="false"/>
          <w:smallCaps w:val="false"/>
          <w:sz w:val="20"/>
        </w:rPr>
        <w:t xml:space="preserve">” means, without duplication, (i) indebtedness for borrowed money (including the outstanding principal amount, accrued and unpaid interest and any related obligations), (ii) other indebtedness evidenced by any note, bond, debenture or other debt security, (iii) obligations under any letters of credit only to the extent drawn and not reimbursed, and (iv) any other items set forth on </w:t>
      </w:r>
      <w:r>
        <w:rPr>
          <w:rFonts w:ascii="Times New Roman;Times;Serif" w:hAnsi="Times New Roman;Times;Serif"/>
          <w:b w:val="false"/>
          <w:i w:val="false"/>
          <w:caps w:val="false"/>
          <w:smallCaps w:val="false"/>
          <w:sz w:val="20"/>
          <w:u w:val="single"/>
        </w:rPr>
        <w:t>Annex 1.1-B</w:t>
      </w:r>
      <w:r>
        <w:rPr>
          <w:rFonts w:ascii="Times New Roman;Times;Serif" w:hAnsi="Times New Roman;Times;Serif"/>
          <w:b w:val="false"/>
          <w:i w:val="false"/>
          <w:caps w:val="false"/>
          <w:smallCaps w:val="false"/>
          <w:sz w:val="20"/>
        </w:rPr>
        <w:t xml:space="preserve"> (which schedule may be updated prior to Closing by the mutual agreement of Buyer and Seller). For the avoidance of doubt and notwithstanding the foregoing,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Generative AI Tools</w:t>
      </w:r>
      <w:r>
        <w:rPr>
          <w:rFonts w:ascii="Times New Roman;Times;Serif" w:hAnsi="Times New Roman;Times;Serif"/>
          <w:b w:val="false"/>
          <w:i w:val="false"/>
          <w:caps w:val="false"/>
          <w:smallCaps w:val="false"/>
          <w:sz w:val="20"/>
        </w:rPr>
        <w:t>” means any third-party or publicly available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federal, state, commonwealth, provincial, county, municipal or local government, foreign or domestic, or the government of any political subdivision of any of the foregoing, or any entity, authority, agency, ministry or other similar body exercising executive, legislative, judicial, regulatory, taxing or administrative authority or functions of or pertaining to government, including any authority or other quasi-Governmental Authority established to perform any of such functions or any airport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(i) any petroleum or petroleum products, radioactive materials, asbestos, and polychlorinated biphenyls; and (ii) any other hazardous or toxic material, substance or waste, pollutant or contaminant that is prohibited, limited or regulated under any Environmental Law. The term “Hazardous Materials” shall also include per- and polyfluoroalkyl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Reform Laws</w:t>
      </w:r>
      <w:r>
        <w:rPr>
          <w:rFonts w:ascii="Times New Roman;Times;Serif" w:hAnsi="Times New Roman;Times;Serif"/>
          <w:b w:val="false"/>
          <w:i w:val="false"/>
          <w:caps w:val="false"/>
          <w:smallCaps w:val="false"/>
          <w:sz w:val="20"/>
        </w:rPr>
        <w:t>” means the Patient Protection and Affordable Care Act, Pub. L. No. 111 148, the Health Care and Education Reconciliation Act of 2010, Pub. L. No.111 152, and all regulations and guidance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any Tax imposed on or determined with reference to gross or net income or profits, including any franchise, business profits or similar Tax imposed in lieu of an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 Return</w:t>
      </w:r>
      <w:r>
        <w:rPr>
          <w:rFonts w:ascii="Times New Roman;Times;Serif" w:hAnsi="Times New Roman;Times;Serif"/>
          <w:b w:val="false"/>
          <w:i w:val="false"/>
          <w:caps w:val="false"/>
          <w:smallCaps w:val="false"/>
          <w:sz w:val="20"/>
        </w:rPr>
        <w:t>” means any Tax Return with respect to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as of any date of determination, without duplication, all Liabilities of the Company Group (including any prepayment premiums payable as a result of the consummation of the Sale) in respect of (i) Funded Indebtedness, (ii) declared or accrued dividends or distributions to the extent unpaid, (iii) amounts owed to any Affiliate (including any equityholder of Seller and except for transactions solely involving the Company Group to the extent eliminated upon consolidation), (iv) interest rate protection agreements and currency obligation swaps, hedges or similar arrangements (without duplication of other indebtedness supported or guaranteed thereby) (determined on the basis of actual, not notional, obligations), (v) the deferred purchase price of any property or services, including any “earn outs” or seller notes, (vi) Accrued Income Taxes, (vii) obligations under any self-insured health or welfare plan (including IBNR claims and any termination liability) or related to any unfunded or underfunded pension, retirement, 401(k), post-retirement, profit sharing, or deferred compensation plans, arrangements, or liabilities, (viii) accrued but unused paid time off, and the employer portion of any Taxes related thereto, (ix) any capital or financing leases, (x) the face value of any unredeemed gift card, gift certificate, stored-value card, e-gift, or similar prepaid customer credit arrangement, (xi) gratuities collected for further distribution to employees, contractors, or other service providers of the Company Group, (xii) security deposits held by the Company Group in respect of leases or subleases where the Company Group acts as lessor or sublessor, (xiii) deferred revenue or customer prepayments, (xiii) any employee retention credit related recapture obligations, penalties, interest, or similar amounts, (xiv) any funds or other amounts held by the Company Group that are escheatable or subject to any reporting, remittance or turnover obligation under any escheat, unclaimed property, or abandoned property Law of any Governmental Authority, including any unredeemed gift card, gift certificate, stored-value card, or similar instrument to the extent not captured under clause (x) above, (xv) accrued but unpaid severance payments relating to any employees of the Company Group terminated on or at any time prior to Closing, and the employer portion of any Taxes related thereto, (xvi) deferred rent payments under any Real Property Lease, (xvii) the remaining rent payments, lease obligations, or other penalties of early lease termination associated with any location operated by the Company Group and closed, or in the process of being wound down and closing, prior to the Closing, (xviii) unpaid common area maintenance payments, dilapidation obligations, or revenue share commitments under any Real Property Lease, and (xix) all obligations of the type set forth in clauses (i) through (xviii) for which the Company Group is obligated pursuant to a guaranty. For the avoidance of doubt and notwithstanding the foregoing, Indebtedness (including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and all intellectual and industrial property rights and other similar proprietary rights, in any jurisdiction, whether registered or unregistered, including all rights pertaining to or deriving from, including: (i) patents and patent applications, reexaminations, reissues, and counterparts claiming priority therefrom (collectively,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copyrights and works of authorship, whether or not copyrightable (collectively,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(iii) Software; (iv) trademarks, trade names, service marks, certification marks, service names, brands, trade dress and logos, and the goodwill associated therewith (collectively,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(v) inventions, invention disclosures, discoveries and improvements, whether or not patentable; (vi) trade secrets, non-public information, confidential information, know-how, data, business information and technical information (including formulas, techniques and processes), and rights to limit the use or disclosure thereof by any Person; (vii) mask works; (viii) proprietary databases and data compilations; and (ix) domain names and social media accounts, including in each case, where applicable, all registrations and applications to register any of the foregoing and any and all renewals or extensions of the foregoing and all documentation relating to the foregoing.</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means, with respect to the Seller and the Company Group as a whole (the “</w:t>
      </w:r>
      <w:r>
        <w:rPr>
          <w:rFonts w:ascii="Times New Roman;Times;Serif" w:hAnsi="Times New Roman;Times;Serif"/>
          <w:b w:val="false"/>
          <w:i w:val="false"/>
          <w:caps w:val="false"/>
          <w:smallCaps w:val="false"/>
          <w:sz w:val="20"/>
          <w:u w:val="single"/>
        </w:rPr>
        <w:t>Transaction Group</w:t>
      </w:r>
      <w:r>
        <w:rPr>
          <w:rFonts w:ascii="Times New Roman;Times;Serif" w:hAnsi="Times New Roman;Times;Serif"/>
          <w:b w:val="false"/>
          <w:i w:val="false"/>
          <w:caps w:val="false"/>
          <w:smallCaps w:val="false"/>
          <w:sz w:val="20"/>
        </w:rPr>
        <w:t xml:space="preserve">”) any change, effect, event, occurrence, state of facts or development that occurs or arises after the date hereof that (a) was not actually known to, and was not reasonably foreseeable by, the board of directors of Seller as of the date of this Agreement (after due inquiry), and (b) becomes actually known to the board of directors of Seller prior to the receipt of Stockholder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order to constitute an “Intervening Event,” such change, effect, event, occurrence, state of facts or development must (A) relate solely and directly to the internal business, assets, financial condition or results of operations of the Transaction Group (and not to the value of, or any change in, the consideration offered in the Transaction, and not to any development relating to the market, industry, competitive landscape, or macroeconomic environment in which the Transaction Group operates), (B) be material and disproportionate in its impact on the Transaction Group relative to other participants of similar size operating in the industries in which the Transaction Group operates, and (C) be of such extraordinary magnitude and significance that continuing to recommend this Agreement to Seller’s stockholders in light of such development would be inconsistent with the fiduciary duties of the Seller’s board of directors under applicable Law, as determined by the board of directors of Seller in good faith after consultation with its outside legal counsel;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change, effect, event, occurrence, state of facts or development shall be taken into account in determining whether an “Intervening Event” has occurred to the extent that it: (i) relates to an Alternative Transaction or any expression of interest, inquiry, offer or proposal that could reasonably be expected to lead to an Alternative Transaction, in each case whether or not constituting a Superior Proposal; (ii) relates to changes in the market price or trading volume of Seller’s capital stock, or the fact that Seller or the Company Group meets or exceeds internal or published estimates, projections, forecasts or predictions for any period, in each case in and of itself (it being understood and agreed that the underlying cause or causes of such change or fact may be taken into account for purposes of determining whether an Intervening Event has occurred); (iii) results from changes in general economic, regulatory or political conditions or changes in conditions generally affecting the financial, credit, debt or securities markets (including changes in interest rates or exchange rates); (iv) results from changes or conditions generally affecting the industries in which the Transaction Group operates; (v) results from changes in applicable Law (or the interpretation or enforcement thereof) or changes in GAAP (or any interpretation thereof) after the date of this Agreement; (vi) results from acts of war, terrorism, hostilities, sabotage, cyberattacks, epidemics, pandemics, earthquakes, hurricanes, tornados or other natural disasters or force majeure events; (vii) results from the announcement or pendency of the transactions contemplated by this Agreement; (viii) relates to any member of the Transaction Group entering into a commercial contract on favorable terms; (ix) results from any action taken by any of the parties hereto that is required to be so taken pursuant to the terms of this Agreement; or (x) relates to any matter that was disclosed in Seller’s public filings with the SEC prior to the date of this Agreement or otherwise known to or reflected in the Schedules as of the date of this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with respect to the foregoing clauses (iii), (iv), (v) and (vi), such changes, effects, events, occurrences, states of facts or developments may be taken into account only to the extent they have a material and disproportionate effect on the Transaction Group relative to other participants in the industries in which the Transaction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all inventory of the Company Group, including all raw materials, spare parts, goods-in-transit, works-in-process, supplies, packaging materials, finished goods, products and other inventory items held directly or indirectly for distribution or resale.</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with respect to any Person, the actual knowledge of such fact, circumstance, event or other matter, after reasonable inquiry of such Person’s directly reporting employees who would reasonably be expected to have knowledge of the relevant matter, in each case, in the ordinary course of fulfilling such Person’s duties and responsibilities;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Companies and Seller, such knowledge shall be limited to the Knowledge of Ezra Ernst, Ian Brown, Patti Ward, Renee O and Bruce Bernstein after reasonable inquiry as the foregoing clause applies to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constitution, statutes, laws, common law, directives, rules, regulations, regulatory requirement, codes, ordinances, and Orders of all Governmental Authorities, in each case, with the force of law,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liability, debt, obligation, Tax or commitment, of any kind or nature whatsoever, whether known or unknown, suspected or unsuspected, matured or unmatured, asserted or unasserted, absolute or contingent, accrued or unaccrued, liquidated or unliquidated, at law or in equity, whether due or to become due, and regardless of when or by whom asserted.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encumbrance, easement, right of way, community property interest, license to a third party, restriction, right of first refusal, lien, charge or other security interest of any kind, including any conditional sale or other title retention agreement and the filing of or agreement to give any financing statement under the Uniform Commercial Code of any jurisdiction or any similar Law (U.S. or non-U.S.) and including any lien or charge arising by Law (U.S. or non-U.S.), or any other restriction on use, voting, transfer, receipt of income or exercise of any other attribute of ownership, or any Contracts to create any of the same (each of the foregoing, a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Agreement, the term Lien shall not include (i) any rights, obligations, or restrictions arising under applicable Law (U.S. or non-U.S.), or (ii) any restrictions on transfer or voting or other attributes provided for in the organizational documents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any damages, losses, charges, liabilities, Taxes, claims, demands, actions, suits, judgments, settlements, awards, interest, penalties, fees, costs and expenses (including reasonable, documented attorneys’ fees and disbursements and the fees and expenses of consultants, accountants and other professionals), including any fees, costs and expenses incurred in enforcing a Party’s rights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“Losses” shall not include punitive damages except to the extent actually awarded to a Governmental Authority or other third party.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effect, event, occurrence, state of facts or development that was, is or would reasonably be expected to become, individually or in the aggregate, materially adverse to (a) the business, assets, liabilities, condition (financial or otherwise) or results of operations of the Company Group or (b) the ability of the Companies or Seller to consummate the transactions described in this Agreement prior to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change, effect, event, occurrence, state of facts, or development to the extent arising from: (i) conditions generally affecting (A) the United States or global economy, (B) financial, banking, or securities markets (including any disruption thereof, any decline in the price of any security or market index, and any change in prevailing interest rates), or (C) any economies, markets, or industries applicable to the Company Group; (ii) acts of God (including earthquakes, hurricanes, floods, or other natural disasters or weather-related conditions), or the commencement, occurrence, continuation, or intensification of any war (whether or not declared), sabotage, armed hostilities, military attacks, acts of terrorism, civil unrest, protests, or other force majeure events beyond Seller’s control; (iii) changes in GAAP or other applicable accounting standards; (iv) changes in applicable Laws (including interpretations thereof), or any Tax, regulatory, or political conditions applicable to the Company Group; (v) any epidemic, pandemic or other public health crisis; (vi) failure to meet any internal or published projections, forecasts, or revenue or earnings predictions for any period ending on or after the date hereof (provided that this clause (vi) shall not exclude any underlying facts giving rise to such failure); (vii) the execution and delivery of this Agreement or any other Transaction Document, the pendency of the transactions contemplated hereby or thereby, or the announcement or disclosure of the identity of Buyer or any of its Affiliates; or (viii) any action taken or omitted to be taken by Seller or any member of the Company Group at the written request of Buyer, or to the extent expressly required by this Agreement or any other Transaction Document, shall, in each case, not be taken into account in determining whether a “Material Adverse Effect” has occurred or would reasonably be expected to occur with respect to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exceptions in clauses (i) through (v) may be considered to the extent that such change, event or effect referred to in any such exception has a disproportionate impact on the Company Group, as compared to other similarly situated Persons in the industries in which the Company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3.14(a)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One Million Five Hundred Thousand U.S. Dollars ($1,500,000).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Modern Slavery Practice</w:t>
      </w:r>
      <w:r>
        <w:rPr>
          <w:rFonts w:ascii="Times New Roman;Times;Serif" w:hAnsi="Times New Roman;Times;Serif"/>
          <w:b w:val="false"/>
          <w:i w:val="false"/>
          <w:caps w:val="false"/>
          <w:smallCaps w:val="false"/>
          <w:sz w:val="20"/>
        </w:rPr>
        <w:t>” means any practice that amounts to (a) slavery or servitude (each as construed in accordance with Article 4 of the Convention for the Protection of Human Rights and Fundamental Freedoms of 4 November 1950), (b) forced or compulsory labour (as defined by the International Labour Organisation’s Forced Labour Convention 1930 (No. 29) and Protocol), (c) human trafficking or (d) the arranging or facilitation of the travel of another natural person with a view to such natural person being exploited.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Adjustment</w:t>
      </w:r>
      <w:r>
        <w:rPr>
          <w:rFonts w:ascii="Times New Roman;Times;Serif" w:hAnsi="Times New Roman;Times;Serif"/>
          <w:b w:val="false"/>
          <w:i w:val="false"/>
          <w:caps w:val="false"/>
          <w:smallCaps w:val="false"/>
          <w:sz w:val="20"/>
        </w:rPr>
        <w:t xml:space="preserve">” means zero,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 the Net Working Capital Surplus,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Net Working Capital Deficit, if any.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xml:space="preserve">” means the sum of (a) all current assets of the Company Group excluding (i) Cash and Cash Equivalents, (ii) Restricted Cash, (iii) deferred Tax assets, and (iv) Income Tax assets,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sum of all current liabilities of the Company Group excluding any (w) Indebtedness, (x) deferred Tax liabilities, (y) Income Tax liabilities, and (z) Sales Expenses, in each case, calculated in accordance with the Accounting Principles. The parties agree that the purpose of preparing and calculating the Net Working Capital hereunder is to measure changes in Net Working Capital without the introduction of accounting methods, policies, practices, procedures, classifications, judgments or estimation methodologies inconsistent with or not expressly contemplated by the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Deficit</w:t>
      </w:r>
      <w:r>
        <w:rPr>
          <w:rFonts w:ascii="Times New Roman;Times;Serif" w:hAnsi="Times New Roman;Times;Serif"/>
          <w:b w:val="false"/>
          <w:i w:val="false"/>
          <w:caps w:val="false"/>
          <w:smallCaps w:val="false"/>
          <w:sz w:val="20"/>
        </w:rPr>
        <w:t xml:space="preserve">” means the amount, if any, by which the Closing Net Working Capital is less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Deficit shall be deemed to be zero and (ii) in excess of the Collar Amount, the Net Working Capital Deficit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Surplus</w:t>
      </w:r>
      <w:r>
        <w:rPr>
          <w:rFonts w:ascii="Times New Roman;Times;Serif" w:hAnsi="Times New Roman;Times;Serif"/>
          <w:b w:val="false"/>
          <w:i w:val="false"/>
          <w:caps w:val="false"/>
          <w:smallCaps w:val="false"/>
          <w:sz w:val="20"/>
        </w:rPr>
        <w:t xml:space="preserve">” means the amount, if any, by which the Closing Net Working Capital is greater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Surplus shall be deemed to be zero and (ii) in excess of the Collar Amount, the Net Working Capital Surplus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Real Property</w:t>
      </w:r>
      <w:r>
        <w:rPr>
          <w:rFonts w:ascii="Times New Roman;Times;Serif" w:hAnsi="Times New Roman;Times;Serif"/>
          <w:b w:val="false"/>
          <w:i w:val="false"/>
          <w:caps w:val="false"/>
          <w:smallCaps w:val="false"/>
          <w:sz w:val="20"/>
        </w:rPr>
        <w:t>” means Leased Real Property of the Company Group located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United States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Off-the-Shelf Software</w:t>
      </w:r>
      <w:r>
        <w:rPr>
          <w:rFonts w:ascii="Times New Roman;Times;Serif" w:hAnsi="Times New Roman;Times;Serif"/>
          <w:b w:val="false"/>
          <w:i w:val="false"/>
          <w:caps w:val="false"/>
          <w:smallCaps w:val="false"/>
          <w:sz w:val="20"/>
        </w:rPr>
        <w:t>” means commercially available, unmodified, off-the-shelf Software that is non-exclusively licensed to the Company Group, having an annual or one time cost of less than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binding and enforceable order, injunction, judgment (preliminary or otherwise), decree, consent decree, settlement agreement, enactment, ruling, writ, assessment, award, subpoena, stipulation, verdict or other decision of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(i) any action taken or not taken in the ordinary course of business of the Company Group’s day-to-day operations and (ii) any action or inaction consistent with past customs and practice in light of the circumstances prevailing at the time of such action or inaction.</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Company Group Member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all approvals, authorizations, certificates, registrations, licenses, consents and permits issued or required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means (i) conditions, easements, covenants, restrictions, agreements, rights-of-way, encroachments, and other minor defects or irregularities or imperfections in title, if any, none of which, individually or in the aggregate, impairs the use or occupancy of the Leased Real Property, (ii) zoning, entitlement, land use or similar ordinances, building, conservation restriction and other similar restrictions, restrictions, by-laws and regulations of record of any Governmental Authority (including municipal by-laws and regulations, any airport zoning regulations, restrictive covenants and other land use limitations) which are not violated by the current use or occupancy of the Leased Real Property or the operation of the Business thereon, (iii) Liens for Taxes (A) not yet due and payable or (B) which are being contested in good faith by appropriate proceedings and for which appropriate reserves have been established in accordance with the Accounting Principles, (iv) statutory or contractual Liens of landlords or otherwise affecting the underlying freehold interest of any leased property, banks (and rights of set-off), of carriers, mechanics, repairmen, workmen and materialmen, and other Liens imposed by Law, in each case incurred in the Ordinary Course of Business, that do not result from a breach or violation by the Company, (v) mechanics’, carriers’, workers’, repairers’ and similar statutory or common law Liens arising or incurred in the Ordinary Course of Business for amounts which are not due and payable or the amount or validity of which is being contested in good faith by appropriate proceedings and for which appropriate reserves have been established in accordance with Accounting Principles, (vi) Liens that will be released or discharged at or prior to Closing and, including, those set forth on Schedule 1.1, (vii) deposits, pledges or other Liens made in connection with, or to secure payment of, workers compensation, unemployment insurance, pension or other social security programs mandated under applicable Law (including workers’ compensation, unemployment insurance or other social security legislation), (viii) purchase money Liens and Liens securing rental payments under capital lease arrangements to the extent, including those set forth on Schedule 1.1, (ix) any matters which would be disclosed by an inspection, or current title commitment(s) covering the Leased Real Property, and/or any survey(s) of the Leased Real Property, (x) non-exclusive licenses of Intellectual Property entered into in the Ordinary Course of Business, and (xi) any Liens set forth on </w:t>
      </w:r>
      <w:r>
        <w:rPr>
          <w:rFonts w:ascii="Times New Roman;Times;Serif" w:hAnsi="Times New Roman;Times;Serif"/>
          <w:b w:val="false"/>
          <w:i w:val="false"/>
          <w:caps w:val="false"/>
          <w:smallCaps w:val="false"/>
          <w:sz w:val="20"/>
          <w:u w:val="single"/>
        </w:rPr>
        <w:t>Annex 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partnership, limited partnership, limited liability company, joint venture, firm, association, trade union, trust, unincorporated organization, Governmental Authority, or any other entity, whether acting in an individual, fiduciary, or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 all information or data relating to one or more individual(s) that is personally identifying, or that alone or in combination with any other information allows for the identification of, an individual; and (ii) any information or data that is defined as “personal information,” “personal data,” Protected Health Information, Biometric Data, or otherwise regulated or protected by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Atlanta Arbitration Expenses</w:t>
      </w:r>
      <w:r>
        <w:rPr>
          <w:rFonts w:ascii="Times New Roman;Times;Serif" w:hAnsi="Times New Roman;Times;Serif"/>
          <w:b w:val="false"/>
          <w:i w:val="false"/>
          <w:caps w:val="false"/>
          <w:smallCaps w:val="false"/>
          <w:sz w:val="20"/>
        </w:rPr>
        <w:t>” has the meaning set forth in Section 6.15(b)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Tax Period</w:t>
      </w:r>
      <w:r>
        <w:rPr>
          <w:rFonts w:ascii="Times New Roman;Times;Serif" w:hAnsi="Times New Roman;Times;Serif"/>
          <w:b w:val="false"/>
          <w:i w:val="false"/>
          <w:caps w:val="false"/>
          <w:smallCaps w:val="false"/>
          <w:sz w:val="20"/>
        </w:rPr>
        <w:t>” means any taxable period beginning after the Closing Date and the portion of any Straddle Period beginning at the beginning of the day on the day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at the end of the day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Agreements</w:t>
      </w:r>
      <w:r>
        <w:rPr>
          <w:rFonts w:ascii="Times New Roman;Times;Serif" w:hAnsi="Times New Roman;Times;Serif"/>
          <w:b w:val="false"/>
          <w:i w:val="false"/>
          <w:caps w:val="false"/>
          <w:smallCaps w:val="false"/>
          <w:sz w:val="20"/>
        </w:rPr>
        <w:t>” means any contracts, commitments, obligations or responsibilities to affiliated and unaffiliated third parties, including individuals, governing the Processing of Personal Information, into which the Company Group has entered or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Laws</w:t>
      </w:r>
      <w:r>
        <w:rPr>
          <w:rFonts w:ascii="Times New Roman;Times;Serif" w:hAnsi="Times New Roman;Times;Serif"/>
          <w:b w:val="false"/>
          <w:i w:val="false"/>
          <w:caps w:val="false"/>
          <w:smallCaps w:val="false"/>
          <w:sz w:val="20"/>
        </w:rPr>
        <w:t>” means any Laws with which the Company Group is required to comply relating to privacy, Protected Health Information, Biometric Data, the Processing of Personal Information, the security of Personal Information, data breach disclosure and notification.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Commitments</w:t>
      </w:r>
      <w:r>
        <w:rPr>
          <w:rFonts w:ascii="Times New Roman;Times;Serif" w:hAnsi="Times New Roman;Times;Serif"/>
          <w:b w:val="false"/>
          <w:i w:val="false"/>
          <w:caps w:val="false"/>
          <w:smallCaps w:val="false"/>
          <w:sz w:val="20"/>
        </w:rPr>
        <w:t>” means, collectively, all of the following to the extent relating to payment card data, Personal Information, or other protected information relating to individuals or otherwise relating to privacy, data security, Processing, marketing, or security breach notification requirements and applicable to the Company Group: (i) each member of the Company Group’s own Privacy Policies, (ii) applicable Privacy and Data Security Laws, (iii) rules of any applicable self-regulatory organizations in which the Company Group is or has been a member, and (iv) Privacy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Policy</w:t>
      </w:r>
      <w:r>
        <w:rPr>
          <w:rFonts w:ascii="Times New Roman;Times;Serif" w:hAnsi="Times New Roman;Times;Serif"/>
          <w:b w:val="false"/>
          <w:i w:val="false"/>
          <w:caps w:val="false"/>
          <w:smallCaps w:val="false"/>
          <w:sz w:val="20"/>
        </w:rPr>
        <w:t>” means each written statement made by the Company Group related to the Processing of Personal Information, including website or mobile app privacy policies or notices and notices or policies related to the privacy of employees, individual contractors, temporary workers, and job applicants.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operation or set of operations performed upon Company Data, including Personal Information, whether or not by automated means, such as collection, recording, organization, structuring, storage, adaptation or alteration, retrieval, consultation, use, disclosure by transmission, dissemination or otherwise making available, combination, restriction, erasure or destruction.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Health Information</w:t>
      </w:r>
      <w:r>
        <w:rPr>
          <w:rFonts w:ascii="Times New Roman;Times;Serif" w:hAnsi="Times New Roman;Times;Serif"/>
          <w:b w:val="false"/>
          <w:i w:val="false"/>
          <w:caps w:val="false"/>
          <w:smallCaps w:val="false"/>
          <w:sz w:val="20"/>
        </w:rPr>
        <w:t>” means information that is a subset of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(i) that identifies the individual; or (ii) with respect to which there is a reasonable basis to believe the information can be used to identify the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the proxy statement to be prepared by Seller and filed with the SEC in connection with the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means a dollar amount equal to (i) the Base Purchase Price,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Net Working Capital Adjustment (which may be a negative number),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Closing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(iv) the Sale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the Closing Cash. The calculation of Purchase Price will be determined in accordance with the Accounting Principles, the applicable definitions set forth in this Agreement, and without duplication of items counted in such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R&amp;D Sponsor</w:t>
      </w:r>
      <w:r>
        <w:rPr>
          <w:rFonts w:ascii="Times New Roman;Times;Serif" w:hAnsi="Times New Roman;Times;Serif"/>
          <w:b w:val="false"/>
          <w:i w:val="false"/>
          <w:caps w:val="false"/>
          <w:smallCaps w:val="false"/>
          <w:sz w:val="20"/>
        </w:rPr>
        <w:t>” means any Governmental Authority, public or private source, university, college, research center or other educational or research institution, military, multi-national, bi-national or international organization or research center that has provided a grant to the Company Group or any inventor, developer, author, or creator of Company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dumping, injecting, pouring, disposing, discharging, escaping, emptying, leaching, migrating or emitting into or through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Cash</w:t>
      </w:r>
      <w:r>
        <w:rPr>
          <w:rFonts w:ascii="Times New Roman;Times;Serif" w:hAnsi="Times New Roman;Times;Serif"/>
          <w:b w:val="false"/>
          <w:i w:val="false"/>
          <w:caps w:val="false"/>
          <w:smallCaps w:val="false"/>
          <w:sz w:val="20"/>
        </w:rPr>
        <w:t xml:space="preserve">” means, without duplication, any cash or cash equivalents of the Company Group that are (a) designated as restricted cash on the consolidated balance sheet of the Company Group, (b) not freely usable or transferable because such cash or cash equivalents are subject to restrictions, limitations or Taxes on use or distribution imposed by any Law, agreement, instrument, commitment or otherwise (other than any such amounts which are Specified Included Cash), (c) held in escrow accounts, or (d) held on behalf of, or otherwise required or expected to be remitted to, customers of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Restricted Cash shall not include the Specified Included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period commencing on the Closing Date and ending on the fifth (5th)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z w:val="20"/>
          <w:u w:val="single"/>
        </w:rPr>
        <w:t>6.11(a)(iii)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Calculation Statement</w:t>
      </w:r>
      <w:r>
        <w:rPr>
          <w:rFonts w:ascii="Times New Roman;Times;Serif" w:hAnsi="Times New Roman;Times;Serif"/>
          <w:b w:val="false"/>
          <w:i w:val="false"/>
          <w:caps w:val="false"/>
          <w:smallCaps w:val="false"/>
          <w:sz w:val="20"/>
        </w:rPr>
        <w:t>” has the meaning set forth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 has the meaning set forth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Expenses</w:t>
      </w:r>
      <w:r>
        <w:rPr>
          <w:rFonts w:ascii="Times New Roman;Times;Serif" w:hAnsi="Times New Roman;Times;Serif"/>
          <w:b w:val="false"/>
          <w:i w:val="false"/>
          <w:caps w:val="false"/>
          <w:smallCaps w:val="false"/>
          <w:sz w:val="20"/>
        </w:rPr>
        <w:t xml:space="preserve">” means, without duplication and to the extent remaining unpaid as of immediately prior to the Closing, those fees, commissions, costs and expenses incurred or payable by the Company Group or Seller in connection with the transactions contemplated by this Agreement and the other Transaction Documents, including, without duplication: (i) the amount of any sale, change in control, “single-trigger” severance, deferred compensation, stay or retention bonuses or similar payment obligations to any current or former officer, director, employee, or other individual service provider of the Company Group that vest or are (or become) payable as a result of the consummation of the transactions contemplated by this Agreement, plus the employer portion of any Taxes relating thereto; (ii) all amounts payable in respect of XpresTest RSAs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plus the employer portion of any Taxes relating thereto; (iii) the amount of any investment banking, accounting, attorney or other professional fees incurred by the Company Group or Seller on or prior to Closing with respect to the transactions contemplated by this Agreement; (iv) the Tail Policy Costs; (v) the costs and expenses of the Escrow Agent; and (vi) the costs of the Data Room.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that is the subject or target of U.S. comprehensive territory or country-based sanctions (as of the date hereof, Cuba, Iran, North Korea, Syria and the Crimea, the Donetsk People’s Republic and Luhansk People’s Republic regions of Ukraine).</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that is the subject or target of sanctions or restrictions under applicable Sanctions Laws, including: (a) any Person listed on any applicable U.S. or non-U.S. sanctions- or export-related restricted party list, including OFAC’s Specially Designated Nationals and Blocked Persons List; (b) any Person that is, in the aggregate, 50% or greater owned, directly or indirectly, or otherwise controlled by a Person or Persons described in clause (a); or (c) any Person who is located, organized or ordinarily resident in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all U.S. and non-U.S. Laws, Regulations, and Executive Orders relating to economic or trade sanctions, including the Laws administered or enforced by the United States (including by OFAC or the U.S. Department of State) and the United Nations Security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means the disclosure schedules delivered by the Companies to Buyer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Benefit Plan</w:t>
      </w:r>
      <w:r>
        <w:rPr>
          <w:rFonts w:ascii="Times New Roman;Times;Serif" w:hAnsi="Times New Roman;Times;Serif"/>
          <w:b w:val="false"/>
          <w:i w:val="false"/>
          <w:caps w:val="false"/>
          <w:smallCaps w:val="false"/>
          <w:sz w:val="20"/>
        </w:rPr>
        <w:t>” means each Benefit Plan that is sponsored, maintained, contributed to or required to be contributed to by Seller or its Affiliates (including the Companies), or with respect to which any liability is borne by Seller or its Subsidiaries (including the Companies) for the benefit of employees or other individual service providers (and their dependents) of the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and all software, including operating system and applications software, embedded software, firmware, tools, data, databases, implementations of algorithms, and program interfaces, whether in source code or object code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Customers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has the meaning set forth in the definition of Cash and Cash Equivalents.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taxable period that begins on or before and ends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 entity as to which such Person (i) owns directly or indirectly 50% or more of such entity’s voting power, economic interest or similar interest or (ii) shall be allocated a majority of partnership, limited liability company, association or other business entity gains or losses or shall be or control the managing director or general partner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Systems</w:t>
      </w:r>
      <w:r>
        <w:rPr>
          <w:rFonts w:ascii="Times New Roman;Times;Serif" w:hAnsi="Times New Roman;Times;Serif"/>
          <w:b w:val="false"/>
          <w:i w:val="false"/>
          <w:caps w:val="false"/>
          <w:smallCaps w:val="false"/>
          <w:sz w:val="20"/>
        </w:rPr>
        <w:t>” means servers, Software, computer firmware, computer hardware, electronic data processing equipment, websites, databases, circuits, networks, network equipment, peripherals, computer systems, and other computer, communications, and telecommunications devices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Costs</w:t>
      </w:r>
      <w:r>
        <w:rPr>
          <w:rFonts w:ascii="Times New Roman;Times;Serif" w:hAnsi="Times New Roman;Times;Serif"/>
          <w:b w:val="false"/>
          <w:i w:val="false"/>
          <w:caps w:val="false"/>
          <w:smallCaps w:val="false"/>
          <w:sz w:val="20"/>
        </w:rPr>
        <w:t>” means any premiums, underwriting costs, brokerage commissions, due diligence costs, surplus line fees, Taxes and other fees and expenses incurred in order to obtain the Tail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NWC</w:t>
      </w:r>
      <w:r>
        <w:rPr>
          <w:rFonts w:ascii="Times New Roman;Times;Serif" w:hAnsi="Times New Roman;Times;Serif"/>
          <w:b w:val="false"/>
          <w:i w:val="false"/>
          <w:caps w:val="false"/>
          <w:smallCaps w:val="false"/>
          <w:sz w:val="20"/>
        </w:rPr>
        <w:t>” means One Million Four Hundred Seventy Two Thousand Dollars ($1,472,000).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federal, state, local, foreign and other taxes, levies, fees, imports, duties and charges of whatever kind imposed by any Governmental Authority, including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ad valorem, intangibles, rent, occupancy, license, occupational, employment, unemployment, social security, disability, workers’ compensation, payroll, withholding, estimated, whether computed on a separate, consolidated, unitary, combined or other basis; (ii) any liability for the payment of any amounts described in this definition as a result of being a member of an affiliated, consolidated, combined, unitary or similar group pursuant to Treasury Regulations Section 1.1502-6 (or other similar provision of state, local or non-U.S. law) or as a result of transferor or successor liability, or as a result of the operation of Law; (iii) any liability for the payments of any amounts as a result of being a party to any Tax Related Agreements or as a result of any obligation to indemnify any other person with respect to the payment of any amounts of the type described in clause (i) or (ii) and, in each of cases (i), (ii) and (iii), whether disputed or not, and (iv) in each case of (i), (ii) and (iii), including any interest, penalties, or additions attributable thereto, imposed in connection therewith, or imposed with respect thereto.</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Related Agreements</w:t>
      </w:r>
      <w:r>
        <w:rPr>
          <w:rFonts w:ascii="Times New Roman;Times;Serif" w:hAnsi="Times New Roman;Times;Serif"/>
          <w:b w:val="false"/>
          <w:i w:val="false"/>
          <w:caps w:val="false"/>
          <w:smallCaps w:val="false"/>
          <w:sz w:val="20"/>
        </w:rPr>
        <w:t>” means all existing agreements or arrangements (whether or not written) binding any Company or its Subsidiaries that (a) provide for the allocation, apportionment, sharing or assignment of any Tax liability or benefit, or the transfer or assignment of income, revenues, receipts, or gains for the purpose of determining any Person’s liability in respect of any Tax; (b) require any Company or any its Subsidiaries to pay or reimburse to any Person in respect of any Tax; or (c) require any Company or any of its Subsidiaries to indemnify or take into account the Tax liability or activities of any other Person in determining its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report, declaration, claim for refund, information return or other document (including any related or supporting schedule, statement or information) filed or required to be filed in connection with the determination, assessment or collection of any Tax of any party or the administration of any Laws relating to any Tax (including any amendment thereof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Guaranty, the Escrow Agreement, the Transition Services Agreement, and all other agreements, certificates, documents or instruments entered into or delivered as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means that certain Transition Services Agreement attached hereto as Exhibit C, as such agreement may be modified by mutual agreement of Buyer and Seller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xml:space="preserve">” means, with respect to any party hereto, a material breach of any representation, warranty, covenant or agreement set forth in this Agreement that is the consequence of an act or failure to act by the breaching party with actual knowledge that such act or failure to act would, or would reasonably be expected to, result in or constitute a material breach of this Agreement and which such material breach resulted in a failure of the Closing to occur;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failure of Buyer to consummate the Closing solely as a result of the failure of the Debt Financing to be funded at or prior to the Closing shall not constitute a “Willful Breach” so long as Buyer shall have complied in all material respects with its obligations under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Turkey</w:t>
      </w:r>
      <w:r>
        <w:rPr>
          <w:rFonts w:ascii="Times New Roman;Times;Serif" w:hAnsi="Times New Roman;Times;Serif"/>
          <w:b w:val="false"/>
          <w:i w:val="false"/>
          <w:caps w:val="false"/>
          <w:smallCaps w:val="false"/>
          <w:sz w:val="20"/>
        </w:rPr>
        <w:t>” means Expresspa Turkey Sa&amp;gbreve;l&amp;inodot;k Hizmetleri ve Perakende Ticaret Limited &amp;Scedil;irketi.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caps w:val="false"/>
          <w:smallCaps w:val="false"/>
          <w:sz w:val="20"/>
        </w:rPr>
        <w:t>Interpretation.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indicated to the contrary herein by the context or use thereof: (i) the words, “herein,” “hereto,” “hereof” and words of similar import refer to this Agreement as a whole and not to any particular Section or paragraph hereof; (ii) the word “including” means “including, but not limited to”; (iii) masculine gender shall also include the feminine and neutral genders, and vice versa; (iv) words importing the singular shall also include the plural, and vice versa; (v) the word “or” shall be inclusive and not exclusive (for example, the phrase “A or B” means “A or B or both,” not “either A or B but not both”), unless used in conjunction with “either” or the like; (vi) each reference to “extent” in the phrase “to the extent” means the degree to which a subject or other thing extends, and such phrase does not mean simply “if”; (vii) any references contained herein to a preamble, section, clause, exhibit, schedule, or other attachment shall refer to the preamble or such section, clause, exhibit, schedule, or other attachment to this Agreement; and (viii)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then the period shall end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context of this Agreement otherwise requires, references to agreements and other documents shall be deemed to include all subsequent amendments and other modifications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of this Agreement otherwise requires, references to statutes shall include all regulations promulgated thereunder and references to Law, statutes or regulations shall be construed as including all Law, statutory and regulatory provisions consolidating, amending or replacing the Law, statute or regulation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in this Agreement to dollar amount thresholds shall not be deemed to be evidence of a Material Adverse Effect or materiality. All references to currency, monetary values, “$” and dollars set forth herein shall mean United States dollars (USD) and all payments required to be made hereunder, or as a result of a breach or violation hereof, shall be made in United States dollars.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References to any contract or agreement shall be to such contract or agreement as amended, supplemented, waived or otherwise modified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1.2(e)</w:t>
      </w:r>
      <w:r>
        <w:rPr>
          <w:rFonts w:ascii="Times New Roman;Times;Serif" w:hAnsi="Times New Roman;Times;Serif"/>
          <w:b w:val="false"/>
          <w:i w:val="false"/>
          <w:caps w:val="false"/>
          <w:smallCaps w:val="false"/>
          <w:sz w:val="20"/>
        </w:rPr>
        <w:t xml:space="preserve"> will not apply with respect to any contracts or agreements referred to in the Schedules.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any documents or other materials were present in the online data room hosted by Dropbox for purposes of the transactions contemplated by this Agreement (the “</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and continuously available to Buyer and its Representatives with access to the Data Room for review for at least three (3) Business Days prior to the date hereof, such documents or other materials shall be deemed “provided” and “made available” (and all similar phrases used herein that mean such) to Buyer for all purposes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Accounting terms that are not otherwise defined in this Agreement, or any Exhibit, Annex or Schedule hereto, shall have the meanings given to them under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“Transaction Document” or “Transaction Documents” when following any reference to this Agreement as a series shall mean “any other Transaction Document” or “other Transaction Documents”, in each case, in the absence of “other”, “another” or similar qualifier.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br/>
        <w:t>THE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caps w:val="false"/>
          <w:smallCaps w:val="false"/>
          <w:sz w:val="20"/>
        </w:rPr>
        <w:t>Purchase of Purchased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this Agreement, at the Closing, Seller shall sell, assign, transfer and convey to Buyer, and Buyer shall purchase and acquire from Seller, all of the Purchased Equity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free and clear of any Liens other than Liens arising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caps w:val="false"/>
          <w:smallCaps w:val="false"/>
          <w:sz w:val="20"/>
        </w:rPr>
        <w:t>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via the electronic exchange of documents, on the date which is two (2) Business Days after the date on which the last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is satisfied or waived (other than those conditions that by their terms cannot be satisfied until the Closing, but subject to the fulfillment or waiver of such conditions at the Closing), or at such place and on such date and time as Seller and Buyer shall mutually agree in writing. The date of the Closing is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Closing will be deemed to be effective as of 12:01 a.m. Eastern Time on the Closing Date other than for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deliver or cause to be delivered: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Seller, the Escrow Agreement, duly executed by Buyer;</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Seller, the Transition Services Agreement (including schedules of services negotiated in good faith by Buyer and Seller), duly executed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Seller, the certificate to be delivered pursuant to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Seller, a good standing certificate (or its equivalent) for Buyer issued by the Secretary of State of the State (or other applicable Governmental Authority) of Buyer’s formation, as applicable, dated as of a date that is within ten (10) days of the Closing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applicable Person, the payments required to be made in accordance with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Seller and the Companies shall deliver or cause to be delivered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membership interest assignments or other customary instruments of assignment in respect of the Purchased Equity, duly endorsed in blank and/or executed in proper form for transfer and sufficient to vest in Buyer good and valid title to the Purchased Equity, free and clear of all Liens other than Liens arising under applicable securities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Escrow Agreement,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Transition Services Agreement (including schedules of services negotiated in good faith by Buyer and Seller),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employment agreements, duly executed by the applicable Company and such employees of Seller or its Affiliates listed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certificates to be delivered pursuant to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duly completed and properly executed (as of the Closing Date) Internal Revenue Service Form W-9 for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good standing certificate (or its equivalent) for Seller issued by the Secretary of State of the State of Seller’s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good standing certificate (or its equivalent) for each member of the Company Group that is organized in the United States, issued by the applicable regulatory body within such Person’s jurisdiction of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certificate executed by an authorized officer of Seller, dated as of the Closing Date, certifying that (A) the Stockholder Approval has been duly obtained in accordance with applicable Laws and Seller’s organizational documents, (B) the resolutions of the board of directors of Seller constituting the Board Recommendation (x) were duly and validly adopted in accordance with applicable Laws and Seller’s organizational documents, (y) have not been rescinded, modified, or withdrawn in any respect, and (z) remain in full force and effect as of the Closing Date, and (C) that attached thereto are true and correct copies of Seller’s certificate of formation and other organizational documents;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certificate executed by an authorized officer of each Company, dated as of the Closing Date, certifying that attached thereto are true and correct copies of (A) the organizational documents of each member of the Company Group and (B) the unanimous joint written resolutions of such Company’s board of directors or managers (or similar governing body) duly passed (that have not been revoked) authorizing such Company to consummate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written resignations, effective as of the Closing, of the directors, managers and officers (or local equivalent, if any) of the Company Group as Buyer shall identify in writing to Seller no later than five (5)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evidence reasonably satisfactory to Buyer of the termination of the agreements and contracts set forth on </w:t>
      </w:r>
      <w:r>
        <w:rPr>
          <w:rFonts w:ascii="Times New Roman;Times;Serif" w:hAnsi="Times New Roman;Times;Serif"/>
          <w:b w:val="false"/>
          <w:i w:val="false"/>
          <w:caps w:val="false"/>
          <w:smallCaps w:val="false"/>
          <w:sz w:val="20"/>
          <w:u w:val="single"/>
        </w:rPr>
        <w:t>Annex 2.2(c)(xii)</w:t>
      </w:r>
      <w:r>
        <w:rPr>
          <w:rFonts w:ascii="Times New Roman;Times;Serif" w:hAnsi="Times New Roman;Times;Serif"/>
          <w:b w:val="false"/>
          <w:i w:val="false"/>
          <w:caps w:val="false"/>
          <w:smallCaps w:val="false"/>
          <w:sz w:val="20"/>
        </w:rPr>
        <w:t>, and such other agreements as Buyer shall identify in writing to Seller no later than five (5) Business Days prior to the Closing Date, in each case, effective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certificate, on behalf of XpressTest, dated as of the Closing Date, prepared in a manner consistent with the requirements of Treasury Regulation Section 1.1445-2(c), and certifying that no Company has ever been a “United States real property holding corporation” as defined in Section 897(c)(2) of the Code within the applicable period set forth in Section 897(c)(1)(A)(ii) of the Code, together with the notification to the IRS required under Treasury Regulation Section 1.897-2(h)(2) and written authorization for Buyer to deliver such statement and notice to the IRS;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certificate of each Subsidiary that is treated as a partnership for U.S. federal income tax purposes, prepared in a manner consistent with the requirements of Temporary Treasury Regulation Section 1.1445-11T(d) and certifying that 50% or more of the value of the gross assets of the applicable Subsidiary does not consist of U.S. real property interests;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with respect to each holder of Funded Indebtedness constituting Closing Indebtedness, payoff letter(s) from such holder (or a duly authorized agent acting on such holder’s behalf) with respect to the applicable Funded Indebtedness and corresponding Liens to be discharged at or prior to Closing setting forth (1) the aggregate amount required to discharge such Indebtedness in full as of the anticipated Closing Date, (2) wire transfer instructions for payment of such amount, and (3) a commitment to release and discharge all related Liens upon receipt of such payment, in each case in form and substance satisfactory to Buyer and (B) any secured party with respect to any Lien on the assets of the Company Group that is not a Permitted Lien, a discharge or release of such Lien in form and substance satisfactory to Buyer;</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executed written waivers, in form and substance reasonably satisfactory to Buyer, from (i) each holder of anti-dilution rights with respect to any equity interests of XpresTest (including, without limitation, Bruce Bernstein and Doug Satzman) and XpresSpa, pursuant to which each such holder irrevocably waives any and all anti-dilution rights, maintenance of ownership obligations, or similar protections arising under any award agreement, equity incentive plan, or any other agreement with respect to XpresTest, and XpresSpa, in each case, effective as of the Closing, and (ii) each equity holder of XpresSpa Middle East B.V. with respect to the provisions of Article 15(1)(c) of the articles of association of such entity, and pursuant to which each such equityholder shall affirmatively grant its consent to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(1) written evidence, in form and substance reasonably satisfactory to Buyer, that the Pre-Closing Reorganization has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(2) copies of all executed Assignment and Transfer Documents, and (3) copies of all Reorganization Consents obtained in connection therewith (or, if any such Reorganization Consent has not been obtained, a certificate executed by an authorized officer of Seller, dated as of the Closing Date, describing in reasonable detail the alternative arrangements implemented by Seller in accordance with </w:t>
      </w:r>
      <w:r>
        <w:rPr>
          <w:rFonts w:ascii="Times New Roman;Times;Serif" w:hAnsi="Times New Roman;Times;Serif"/>
          <w:b w:val="false"/>
          <w:i w:val="false"/>
          <w:caps w:val="false"/>
          <w:smallCaps w:val="false"/>
          <w:sz w:val="20"/>
          <w:u w:val="single"/>
        </w:rPr>
        <w:t>Section 6.11(a);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written evidence, in form and substance reasonably satisfactory to Buyer, that the real property leases and concession agreements with respect to the XpresSpa Airport Business locations set forth on </w:t>
      </w:r>
      <w:r>
        <w:rPr>
          <w:rFonts w:ascii="Times New Roman;Times;Serif" w:hAnsi="Times New Roman;Times;Serif"/>
          <w:b w:val="false"/>
          <w:i w:val="false"/>
          <w:caps w:val="false"/>
          <w:smallCaps w:val="false"/>
          <w:sz w:val="20"/>
          <w:u w:val="single"/>
        </w:rPr>
        <w:t>Annex 2.2(c)(xix)</w:t>
      </w:r>
      <w:r>
        <w:rPr>
          <w:rFonts w:ascii="Times New Roman;Times;Serif" w:hAnsi="Times New Roman;Times;Serif"/>
          <w:b w:val="false"/>
          <w:i w:val="false"/>
          <w:caps w:val="false"/>
          <w:smallCaps w:val="false"/>
          <w:sz w:val="20"/>
        </w:rPr>
        <w:t xml:space="preserve"> have been renewed or extended such that the XpresSpa Airport Business can continue operating at such locations following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evidence, in form and substance reasonably satisfactory to Buyer, that the state tax lien, filed October 17, 2025 against XpresTest in New York County (lien no. 005177397-01; index no. 54-906294) in favor of the New York Department of Labor has been terminated;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written evidence, in form and substance reasonably satisfactory to Buyer, that the actions required by Section 2.4(d) have been completed;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written evidence, in form and substance reasonably satisfactory to Buyer, that XpressSpa Turkey has registered a capital increase with the Istanbul Trade Registry such that such entity’s share capital does not fall below the minimum required by applicable Turkish law.</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Between the Calculation Time and the Closing, the Company Group shall not issue any outgoing checks, initiate any wires or otherwise make any payments to any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caps w:val="false"/>
          <w:smallCaps w:val="false"/>
          <w:sz w:val="20"/>
        </w:rPr>
        <w:t>Purchase Price, Calculation and Payment of Estimated Purchase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At least five (5) Business Days prior to the Closing Date (or such later date agreed to by Buyer in writing), Seller shall deliver to Buyer a statement executed by the Chief Financial Officer of Seller setting forth its calculation of the Estimated Purchase Price and shall include detailed supporting schedules in which each of the components of the Estimated Purchase Price calculation were computed (the “</w:t>
      </w:r>
      <w:r>
        <w:rPr>
          <w:rFonts w:ascii="Times New Roman;Times;Serif" w:hAnsi="Times New Roman;Times;Serif"/>
          <w:b w:val="false"/>
          <w:i w:val="false"/>
          <w:caps w:val="false"/>
          <w:smallCaps w:val="false"/>
          <w:sz w:val="20"/>
          <w:u w:val="single"/>
        </w:rPr>
        <w:t>Preliminary Statement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shall be a good faith estimate of the Purchase Price, as determined by Seller (subject to adjustment as provided below)). In connection with determining the Estimated Purchase Price, Seller shall estimate the amount of the following items: (i) the Closing Net Working Capital (the “</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(ii) the Net Working Capital Adjustment (the “</w:t>
      </w:r>
      <w:r>
        <w:rPr>
          <w:rFonts w:ascii="Times New Roman;Times;Serif" w:hAnsi="Times New Roman;Times;Serif"/>
          <w:b w:val="false"/>
          <w:i w:val="false"/>
          <w:caps w:val="false"/>
          <w:smallCaps w:val="false"/>
          <w:sz w:val="20"/>
          <w:u w:val="single"/>
        </w:rPr>
        <w:t>Estimated Net Working Capital Adjustment</w:t>
      </w:r>
      <w:r>
        <w:rPr>
          <w:rFonts w:ascii="Times New Roman;Times;Serif" w:hAnsi="Times New Roman;Times;Serif"/>
          <w:b w:val="false"/>
          <w:i w:val="false"/>
          <w:caps w:val="false"/>
          <w:smallCaps w:val="false"/>
          <w:sz w:val="20"/>
        </w:rPr>
        <w:t>”), (iii) the Closing Indebtedness (such amount the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(iv) the Closing Cash (the “</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and (v) the Sale Expenses (such amount the “</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The Preliminary Statement shall also include a schedule setting forth the cash held by each member of the Company Group in each applicable jurisdiction as of the date of delivery of the Preliminary Statement. Buyer shall be entitled to review, comment on and request reasonable changes to the Preliminary Statement and Seller and the Companies shall furnish to Buyer and its representatives reasonable access (subject to the execution of customary confidentiality and work paper access letters, if requested), during normal business hours and upon reasonable prior written notice, to all working papers, books, records, financial data, calculations and other documentation of Seller, the Companies or any of their Affiliates or their respective accountants or financial advisors used in the preparation of the Preliminary Statement or otherwise relevant to the computation of the amounts set forth therein or the calculation of the Estimated Purchase Price. Seller shall consider Buyer’s proposed changes to the Preliminary Statement in good faith. In no event will any of Buyer’s rights under this Agreement be considered waived, impaired or otherwise limited as a result of Buyer making or failing to make any objection or comment prior to the Closing to the Preliminary Statement or any amount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Estimated Purchase Price; Closing Date Payments</w:t>
      </w:r>
      <w:r>
        <w:rPr>
          <w:rFonts w:ascii="Times New Roman;Times;Serif" w:hAnsi="Times New Roman;Times;Serif"/>
          <w:b w:val="false"/>
          <w:i w:val="false"/>
          <w:caps w:val="false"/>
          <w:smallCaps w:val="false"/>
          <w:sz w:val="20"/>
        </w:rPr>
        <w:t>. On the Closing Date, contemporaneously with the Closing, Buyer shall pay: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of cash equal to Seven Hundred Fifty Thousand Dollars ($750,000) (such amount, the “</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to Citibank, N.A., as escrow agent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to be deposited into an escrow account (the “</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established pursuant to an escrow agreement entered into on the Closing Date among Buyer, Seller and Escrow Agent and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amount of cash equal to One Million Six Hundred Fifty Thousand Dollars ($1,650,000) (such amount, the “</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established pursuant to the Escrow Agreement, which shall govern the Indemnity Escrow Account as a separate account from the Adjustment Escrow Account and the Atlanta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of cash equal to Two Hundred Fifty Thousand Dollars ($250,000) (such amount, the “</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established pursuant to the Escrow Agreement, which shall govern the Atlanta Escrow Account as a separate account from the Adjustment Escrow Account and the Indemnity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 amount of cash equal to the Estimated Closing Indebtedness in respect of the Funded Indebtedness set forth on </w:t>
      </w:r>
      <w:r>
        <w:rPr>
          <w:rFonts w:ascii="Times New Roman;Times;Serif" w:hAnsi="Times New Roman;Times;Serif"/>
          <w:b w:val="false"/>
          <w:i w:val="false"/>
          <w:caps w:val="false"/>
          <w:smallCaps w:val="false"/>
          <w:sz w:val="20"/>
          <w:u w:val="single"/>
        </w:rPr>
        <w:t>Annex 2.3(b)(iv)</w:t>
      </w:r>
      <w:r>
        <w:rPr>
          <w:rFonts w:ascii="Times New Roman;Times;Serif" w:hAnsi="Times New Roman;Times;Serif"/>
          <w:b w:val="false"/>
          <w:i w:val="false"/>
          <w:caps w:val="false"/>
          <w:smallCaps w:val="false"/>
          <w:sz w:val="20"/>
        </w:rPr>
        <w:t xml:space="preserve"> (which Annex may be updated prior to Closing by Seller with the consent of Buyer (not to be unreasonably withheld, conditioned, or delayed)) to the holders of such Funded Indebtedness to be discharged on behalf of the Company Group by wire transfer of immediately available funds to such account or accounts as directed in the applicable payoff letter(s) or as directed by Seller in writing to Buyer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Estimated Sale Expenses to each of the payees thereof on behalf of Seller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Estimated Sale Expenses that are compensatory for Tax purposes shall be paid to Seller or the applicable member of the Company Group for distribution to the applicable payee pursuant to applicable payroll practices, less applicable withholding Taxes);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Estimated Purchase Price (after deducting the Adjustment Escrow Amount, the Indemnity Escrow Amount, and the Atlanta Escrow Amount) to Seller by wire transfer of immediately available funds to such account or accounts as directed by Seller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Preparation of the Final Statement of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no later than ninety (90) days after the Closing Date, Buyer shall prepare and deliver to Seller a statement setting forth a proposed calculation of: (A) the Closing Net Working Capital (the “</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(B) the Net Working Capital Adjustment (the “</w:t>
      </w:r>
      <w:r>
        <w:rPr>
          <w:rFonts w:ascii="Times New Roman;Times;Serif" w:hAnsi="Times New Roman;Times;Serif"/>
          <w:b w:val="false"/>
          <w:i w:val="false"/>
          <w:caps w:val="false"/>
          <w:smallCaps w:val="false"/>
          <w:sz w:val="20"/>
          <w:u w:val="single"/>
        </w:rPr>
        <w:t>Proposed Net Working Capital Adjustment</w:t>
      </w:r>
      <w:r>
        <w:rPr>
          <w:rFonts w:ascii="Times New Roman;Times;Serif" w:hAnsi="Times New Roman;Times;Serif"/>
          <w:b w:val="false"/>
          <w:i w:val="false"/>
          <w:caps w:val="false"/>
          <w:smallCaps w:val="false"/>
          <w:sz w:val="20"/>
        </w:rPr>
        <w:t>”), (C) the Closing Indebtedness (the “</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(D) the Closing Cash (the “</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and (E) the Sale Expenses (the “</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and the resulting Purchase Price (the “</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based on the Proposed Closing Net Working Capital, the Proposed Closing Indebtedness, the Proposed Closing Cash, and the Proposed Sale Expenses. The Proposed Closing Net Working Capital, the Proposed Closing Indebtedness, the Proposed Closing Cash, the Proposed Sale Expenses and the Proposed Purchase Price Calculation shall collectively be referred to herein from time to time as the “</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The Proposed Closing Date Calculations shall be calculated in accordance with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include detailed supporting schedules in which each of the components of the Proposed Purchase Price Calculations were computed. The Proposed Closing Date Calculations shall (i) shall be in accordance with the Accounting Principles, (ii) not include any changes in assets or liabilities as a result of purchase accounting adjustments or year-end reclassification and adjustments and (iii) exclude the effect of any decision or event occurring as a result of Buyer’s actions following the Closing. If Buyer does not deliver the Proposed Closing Date Calculations within the time period required by this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at Seller’s option, it may accept the Estimated Purchase Price as the Final Statement of Purchase Price or it may submit in writing to Buyer its own Proposed Closing Date Calculations within the subsequent thirty (30)-day period (whereupon Buyer and Seller shall follow the requirements of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with Buyer having a thirty (30)-day period following Seller’s delivery of the Proposed Closing Date Calculations to deliver a Purchase Price Dispute Notice).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may dispute the Proposed Closing Date Calculations (or any items therein) by delivering a written notice of dispute (a “</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to Buyer within thirty (30) days of receiving the Proposed Closing Date Calculations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In the event that Buyer has not provided supporting documents reasonably requested by Seller in its review of the Proposed Closing Date Calculations, Seller may object to any items in the Proposed Closing Date Calculations on that basis. Any component of the Proposed Purchase Price Calculation not expressly and specifically identified as being in dispute in the Purchase Price Dispute Notice will be final, conclusive, binding on and non-appealable by the parties for purposes of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unless the resolution of a disputed item affects an undisputed item within the Proposed Closing Date Calculations, in which case such undisputed component will, notwithstanding the failure to object to such component in the Purchase Price Dispute Notice, be considered a disputed item solely to the extent affected by the resolved disputed item (for example, a misclassification of outstanding checks between accounts payable and cash will require adjustment to both accounts, even if the disputed item related only to accounts payable and not cash). During the Review Period and the Resolution Period (if any), Seller and its accountants and other representatives shall be provided reasonable access (subject to the execution of customary confidentiality and work paper access letters, if requested), during normal business hours, and upon reasonable prior notice, and in a manner not unreasonably disruptive to Buyer’s or the Company Group’s ordinary business activities, to any working papers and books and records of the Company Group, or any of their respective accountants or financial advisors used in the preparation of the Proposed Closing Date Calculations, along with any other information relevant to the computation or calculation of the amounts set forth therein, or as otherwise reasonably requested by Seller as necessary to enable Seller to review the Proposed Closing Date Calculations. Buyer and Seller shall use commercially reasonable efforts to resolve any such dispute during the thirty (30)-day period commencing on the date Buyer receives the Purchase Price Dispute Notice from Seller (the “</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If Seller and Buyer do not obtain a final resolution during the Resolution Period, then either Seller or Buyer may submit the items remaining in dispute (the “</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a nationally recognized accounting firm to be mutually agreed upon between Seller and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parties are unable to agree upon an independent accounting firm to resolve such dispute, then, within five (5) Business Days of the expiration of the Resolution Period, Seller and Buyer will each select an independent accounting firm and direct the same to designate, by common and mutual agreement, within three (3) Business Days, a third independent accounting firm to resolve such dispute, failing which a firm will be selected by them by lot (such independent accounting firm, as selected or designated in accordance with the foregoing,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The Accounting Firm shall be instructed to render a determination of the applicable Unresolved Items and the resulting final Purchase Price within thirty (30) days after engagement of the Accounting Firm with respect to the dispute, which determination must be in writing and must set forth, in reasonable detail, the basis therefor. The parties hereto further agree that the adjustment contemplated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with respect to Closing Net Working Capital is intended to show the change between the Estimated Closing Net Working Capital and the Closing Net Working Capital, and that such changes can only be measured if each calculation is done in a manner consistent with the terms of this Agreement and the Accounting Principles and the definitions thereof. The determination of the Accounting Firm with respect to the Unresolved Items shall, absent manifest error or fraud, be conclusive and binding upon Seller, Buyer and the other parties hereto and judgment may be entered upon the determination of the Accounting Firm in any court having jurisdiction over the party against which such determination is to be enforced. All communications with the Accounting Firm shall include both Buyer and Seller, and Buyer and Seller each agree that it will not have any ex parte communications with the Accounting Firm. The Accounting Firm may also request a party to answer questions that it deems relevant to the resolution of the Unresolved Items.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Firm shall determine, based solely on written submissions by Buyer and Seller (with a copy of such submissions to the other party) and their respective representatives, and not by independent review, only the Unresolved Items and no other determination. In resolving any Unresolved Items, the Accounting Firm shall act as an expert and not an arbitrator and shall be bound by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not assign a value to any item greater than the greatest value for such item claimed or less than the smallest value for such item claimed, in the case of Buyer, as provided in the Proposed Closing Date Calculations (or Purchase Price Dispute Notice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and in the case of Seller, as provided in the Purchase Price Dispute Notice (or Proposed Closing Date Calculations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The Accounting Firm will have no authority or power to alter, modify, amend, add to or subtract from any term or provision of this Agreement. If any party fails to submit a statement regarding any Unresolved Items submitted to the Accounting Firm within the time determined by the Accounting Firm or otherwise fails to give the Accounting Firm access as reasonably requested, then the Accounting Firm shall render a decision based solely on the evidence timely submitted and the access afforded to the Accounting Firm by the other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shall mean (A) if a Purchase Price Dispute Notice is not delivered within the time period required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the amount of the Proposed Purchase Price Calculation, (B) the amount agreed as the final Purchase Price at any time in writing by Buyer and Seller, or (C) the final Purchase Price as set forth in the written determination of the Accounting Firm made in accordance with the provisions of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Seller and Buyer submit any Unresolved Items to the Accounting Firm for resolution as provided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above, the fees, costs and expenses of the Accounting Firm (A) shall be paid by Buyer in the proportion that the aggregate dollar amount of such Unresolved Items so submitted that are successfully disputed by Seller (as finally determined by the Accounting Firm) bears to the aggregate dollar amount of such items so submitted and (B) shall be paid by Seller in the proportion that the aggregate dollar amount of such Unresolved Items so submitted that are unsuccessfully disputed by Seller (as finally determined by the Accounting Firm) bears to the aggregate dollar amount of such Unresolved Items so submitted. For purposes of illustration, if the total amount of the disputed items as originally submitted to the Accounting Firm equals $1,000 and the Accounting Firm awards $600 in favor of Buyer’s position, 60% of the fees and expenses of the Accounting Firm would be borne by Seller and 40% of the fees and expenses of the Accounting Firm would be borne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Adjustment to Estimated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Actual Adjustment is a positive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 Buyer or the Companies shall pay to Seller (or its designees) an amount equal to the Actual Adjustment by wire transfer or delivery of other immediately available funds to such account or accounts as directed by Seller, and (y) Buyer and Seller shall promptly deliver joint written instructions to the Escrow Agent instructing the Escrow Agent to release to Seller (or its designees) the entirety of the Adjustment Escrow Funds.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Actual Adjustment is a negative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Buyer and Seller shall deliver joint written instructions to the Escrow Agent instructing the Escrow Agent to release (x) to Buyer (or its designee) out of the Adjustment Escrow Account all or a portion of the Adjustment Escrow Funds equal to the absolute value of the Actual Adjustment, and (y) to Seller (or its designee) out of the Adjustment Escrow Account, the remainder of the Adjustment Escrow Funds (if any, taking into account any amounts previously released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In the event that the Adjustment Escrow Funds are insufficient to pay to Buyer any amounts owed to it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Seller shall pay to Buyer, by wire transfer of immediately available funds, any such amounts not recovered from the Adjustment Escrow Account. Without limiting the foregoing, Buyer shall have the right to set-off any amounts finally determined to be owed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that remain unpaid against any other amounts then or thereafter payable by Buyer to Seller under this Agreement or any other Transaction Document.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Exclusive Remedies</w:t>
      </w:r>
      <w:r>
        <w:rPr>
          <w:rFonts w:ascii="Times New Roman;Times;Serif" w:hAnsi="Times New Roman;Times;Serif"/>
          <w:b w:val="false"/>
          <w:i w:val="false"/>
          <w:caps w:val="false"/>
          <w:smallCaps w:val="false"/>
          <w:sz w:val="20"/>
        </w:rPr>
        <w:t xml:space="preserve">. The parties agree that, solely as between them, other than claims by Buyer for Actual Seller Fraud or claims by Seller for Actual Buyer Fraud, the adjustment mechanics to the Purchase Price (including the dispute resolution provisions) and the releases of Adjustment Escrow Funds and other payments provided for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be the sole and exclusive remedy of the parties with respect to any matters relating to the calculation of the Purchase Price and the parties further agree that upon a final determination of the Purchase Price in accordance with the provisions of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the payment of the applicable Actual Adjustment (if any), such determination of Purchase Price shall be final and binding on the parties, and all further claims against a party hereto in connection with the determination of the Purchase Price or adjustments thereto shall be barred (it being understood, however, that the right of any party to exercise rights and remedies under this Agreement, including equitable or injunctive relief, with regard to the failure by any party to comply with its obligations under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not be affected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caps w:val="false"/>
          <w:smallCaps w:val="false"/>
          <w:sz w:val="20"/>
        </w:rPr>
        <w:t>Treatment of XpresTest Equity Awards.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Treatment of XpresTest Restricted Stock Awards</w:t>
      </w:r>
      <w:r>
        <w:rPr>
          <w:rFonts w:ascii="Times New Roman;Times;Serif" w:hAnsi="Times New Roman;Times;Serif"/>
          <w:b w:val="false"/>
          <w:i w:val="false"/>
          <w:caps w:val="false"/>
          <w:smallCaps w:val="false"/>
          <w:sz w:val="20"/>
        </w:rPr>
        <w:t>. At the Closing, each outstanding XpresTest restricted stock award (“</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shall become fully vested and shall, automatically and without any required action on the part of the holder thereof or XpresTest, be cancelled and converted into the right to receive (without interest) an amount in cash equal to </w:t>
      </w:r>
      <w:r>
        <w:rPr>
          <w:rFonts w:ascii="Times New Roman;Times;Serif" w:hAnsi="Times New Roman;Times;Serif"/>
          <w:b w:val="false"/>
          <w:i w:val="false"/>
          <w:caps w:val="false"/>
          <w:smallCaps w:val="false"/>
          <w:sz w:val="20"/>
          <w:shd w:fill="FFFFFF" w:val="clear"/>
        </w:rPr>
        <w:t xml:space="preserve">(x) the total number of shares underlying such award of XpresTest RSAs, multiplied by (y) </w:t>
      </w:r>
      <w:r>
        <w:rPr>
          <w:rFonts w:ascii="Times New Roman;Times;Serif" w:hAnsi="Times New Roman;Times;Serif"/>
          <w:b w:val="false"/>
          <w:i w:val="false"/>
          <w:caps w:val="false"/>
          <w:smallCaps w:val="false"/>
          <w:sz w:val="20"/>
        </w:rPr>
        <w:t xml:space="preserve">a per-share price to be mutually agreed by Buyer and Seller in writing no later than three (3) Business Days prior to the Closing Date, based on a valuation of XpresTest conducted in a manner consistent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7(f)</w:t>
      </w:r>
      <w:r>
        <w:rPr>
          <w:rFonts w:ascii="Times New Roman;Times;Serif" w:hAnsi="Times New Roman;Times;Serif"/>
          <w:b w:val="false"/>
          <w:i w:val="false"/>
          <w:caps w:val="false"/>
          <w:smallCaps w:val="false"/>
          <w:sz w:val="20"/>
        </w:rPr>
        <w:t xml:space="preserve"> and the Allocation Schedule (such per-share price, the “</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The Seller shall deliver to Buyer at the Closing a statement (the “RSA Calculation Statement”) setting forth the amounts payable to the holders of XpresTest RSAs in accordance with Section 2.4(a) (calculated using the RSA Per Share Price as mutually agreed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less Taxes required to be withheld with respect to such payments. The Companies shall pay (or cause to be paid) to the holders of XpresTest RSAs the amounts set forth in the RSA Calculation Statement as soon as practicable following the Closing Date, but not later than five (5) Business Days following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of XpresTest Equity Plan</w:t>
      </w:r>
      <w:r>
        <w:rPr>
          <w:rFonts w:ascii="Times New Roman;Times;Serif" w:hAnsi="Times New Roman;Times;Serif"/>
          <w:b w:val="false"/>
          <w:i w:val="false"/>
          <w:caps w:val="false"/>
          <w:smallCaps w:val="false"/>
          <w:sz w:val="20"/>
        </w:rPr>
        <w:t xml:space="preserve">. As of the Closing, the XpresTest 2020 Equity Incentive Plan shall be terminated and no further shares, XpresTest RSAs, other equity interests in XpresTest or other rights with respect to shares shall be granted thereunder. </w:t>
      </w:r>
      <w:r>
        <w:rPr>
          <w:rFonts w:ascii="Times New Roman;Times;Serif" w:hAnsi="Times New Roman;Times;Serif"/>
          <w:b w:val="false"/>
          <w:i w:val="false"/>
          <w:caps w:val="false"/>
          <w:smallCaps w:val="false"/>
          <w:sz w:val="20"/>
          <w:shd w:fill="FFFFFF" w:val="clear"/>
        </w:rPr>
        <w:t xml:space="preserve">Following the Closing, no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that was outstanding immediately prior to the Closing shall remain outstanding and each former holder of any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shall cease to have any rights with respect thereto, except the right to receive the consideration set forth in this </w:t>
      </w:r>
      <w:r>
        <w:rPr>
          <w:rFonts w:ascii="Times New Roman;Times;Serif" w:hAnsi="Times New Roman;Times;Serif"/>
          <w:b w:val="false"/>
          <w:i w:val="false"/>
          <w:caps w:val="false"/>
          <w:smallCaps w:val="false"/>
          <w:sz w:val="20"/>
          <w:u w:val="single"/>
          <w:shd w:fill="FFFFFF" w:val="clear"/>
        </w:rPr>
        <w:t>Section 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Closing, the XpresTest Board of Directors (or, if appropriate, any committee thereof) shall adopt appropriate resolutions and take such other actions as are reasonably necessary and appropriate to effect the transactions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addition, in connection with the cancellation of the XpresTest RSAs as contemplated herein, XpresTest shall secure repurchase agreements from each holder of XpresTest RSAs (and, to the extent reasonably requested by Buyer, any former holder of XpresTest RSAs, to the extent the Company does not maintain records reflecting the transfer of such XpresTest RSAs by such former) which, among other things, shall release all such holders’ rights with respect to such XpresTest RSAs, other than the right to receive the consideration described in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u w:val="single"/>
          <w:shd w:fill="FFFFFF" w:val="clear"/>
        </w:rPr>
        <w:t>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caps w:val="false"/>
          <w:smallCaps w:val="false"/>
          <w:sz w:val="20"/>
        </w:rPr>
        <w:t>Non-U.S. Security Deposit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security deposits held as of the Closing Date by landlords under Real Property Leases with respect to Non-U.S. Real Property, and cash held as collateral in respect of letters of credit, surety bonds, bank guarantees or performance bonds with respect to the business of the Company Group outside of the United States (each, a “</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are not Eligible Security Deposits, are excluded from the definitions of Cash and Cash Equivalents and Closing Cash, and are not reflected in the Purchase Price. In lieu of any adjustment to the Purchase Price in respect of the Non-U.S. Deposits, the parties agree to the payment mechanics set forth in this Section 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twelve (12)-month period following the Closing Date, if any Real Property Lease with respect to Non-U.S. Real Property expires or is terminated (whether by the Company Group or the applicable landlord) and, in connection therewith, any member of the Company Group actually receives from the applicable landlord or holder thereof the return of all or any portion of the corresponding Non-U.S. Deposit (net of any amounts withheld or offset by such landlord or holder), then Buyer shall cause the applicable member of the Company Group to pay to Seller, within ten (10) Business Days of receipt of such amounts, a cash amount equal to (A) the net amount actually received by such member of the Company Group in respect of such Non-U.S. Security Deposit return,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any reasonable and documented out-of-pocket costs and expenses (including legal fees) incurred by Buyer or any member of the Company Group in connection with collecting or recovering such Non-U.S. Deposit from the applicable landlord or holder (the “</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which such net amount will be paid to Seller, at Buyer’s sole option, in either the same currency in which it is received by the Company Group or United States Dollars based on the then applicable exchange rate. For the avoidance of doubt, if any Real Property Lease with respect to Non-U.S. Real Property expires or is terminated and the Company Group does not receive return of any portion of the applicable Non-U.S. Deposit(s), then there shall be no payment due or ever owed to the Seller with respect to such Non-U.S. Deposit(s). In no event shall the amount payable to Seller pursuant to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with respect to any Non-U.S. Deposit be less than zero.</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date that is twelve (12) months following the Closing Date, Buyer shall cause the Companies to pay to Seller, by wire transfer of immediately available funds, a cash amount equal to (i) the aggregate amount of Non-U.S. Deposits (as set forth in the Non-U.S. Deposit Schedule) with respect to each Real Property Lease for Non-U.S. Real Property that has not expired or been terminated and with respect to which the Company Group continues to operate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amount of any claim on such deposits of which Buyer or the Companies have been notified by the applicable landlord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any Collection Costs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(iv) the amount of any such Non-U.S. Deposit that Seller or any of its Affiliates has directly received from the applicable landlord or holder prior to the date of the Non-U.S. Deposit Anniversary Paymen</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(such resulting amount, the “</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Non-U.S. Deposit Anniversary Payment shall not be less than zero. The Non-U.S. Deposit Anniversary Payment shall constitute full and final settlement of all of Buyer’s obligations to Seller with respect to each Non-U.S. Deposit covered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Closing, Seller shall prepare and deliver to Buyer a schedule (the “</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setting forth, with respect to each Real Property Lease for Non-U.S. Real Property, (i) the name of the applicable landlord, (ii) the location of the applicable Leased Real Property, (iii) the amount of the corresponding Non-U.S. Deposit, (iv) a description of any claims on or withholdings or offsets from such deposits of which Seller is aware as of the Closing Date, and (v) a description of any facts or circumstances known to Seller as of the Closing Date that would reasonably be expected to adversely impact the Company Group’s entitlement to receive payment in full of the Non-U.S. Deposits from the applicable landlords or holders thereof. The Non-U.S. Deposit Schedule shall be updated by Seller no later than three (3) Business Days prior to the Closing Date to reflect any material changes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caps w:val="false"/>
          <w:smallCaps w:val="false"/>
          <w:sz w:val="20"/>
        </w:rPr>
        <w:t>Withholding.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the Companies, the Escrow Agent, and any other applicable withholding agent shall be entitled to deduct and withhold from the consideration otherwise payable to Seller pursuant to this Agreement such amounts as may be required to be deducted or withheld with respect to the making of such payment under the Code, or any applicable provision of state, local or foreign Tax Law; provided, that, prior to withholding any such amount, the Buyer shall (i) provide written notice of its intent to withhold to Seller as soon as reasonably practicable, but in any event, at least five (5) Business Days in advance of the anticipated date of the applicable payment, indicating (A) the approximate amount to be deducted and withheld, and (B) the basis for requiring such deduction and withholding and (ii) provide Seller the opportunity to minimize or eliminate such withholding to the extent permitted by applicable Tax Laws. To the extent that amounts are so deducted or withheld and paid over to the appropriate Governmental Authority by the Companies or Buyer, such amounts shall be treated for all purposes of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br/>
        <w:t>REPRESENTATIONS AND WARRANTIES REGARDING THE COMPANY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Seller hereby represents and warrants to Buyer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caps w:val="false"/>
          <w:smallCaps w:val="false"/>
          <w:sz w:val="20"/>
        </w:rPr>
        <w:t>Organization; 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XpresTest is a corporation and XpresSpa is a limited liability company, and each such Company is duly organized, validly existing, and in good standing under the Laws of the State of Delaware, and has all requisite corporate or limited liability company power and authority to carry on its business as it is currently being conducted, except where failure to be in good standing would not, individually or in the aggregate,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is duly qualified to do business and is in good standing (to the extent such concept is applicable) in the jurisdictions where the nature of the property owned or leased or the business conducted by such Company makes such qualification necessary, except where the failure to so qualify would not reasonably be expected to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True and complete copies of the organizational documents of each Company and each Other Company Group Member, as currently in effect,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has all necessary power and authority to execute, deliver and perform this Agreement and the other Transaction Documents to which such Company is a party and to consummate the transactions contemplated hereby and thereby. The execution, delivery and performance by each Company of this Agreement and the other Transaction Documents to be executed by such Company in connection herewith, and the consummation by each Company of the transactions contemplated hereby and thereby, have been or as of immediately prior to the Closing will be duly authorized by all necessary corporate or limited liability company action on behalf of such Company. This Agreement and the other Transaction Documents to which each Company is a party have been or, upon execution and delivery, will be duly and validly executed and delivered by each Company and, assuming due authorization, execution and delivery by Buyer and the other parties hereto and thereto, constitute or will constitute the valid and binding obligations of each Company, enforceable against each Company in all material respects in accordance with their respective terms, except as such enforceability may be limited by bankruptcy, insolvency, reorganization, moratorium, fraudulent conveyance and similar Laws relating to or affecting creditors’ rights and remedies generally, or by general equity principles (regardless of whether enforcement is sought in a proceeding at law or in equity)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delivery and performance by each Company of this Agreement and the other Transaction Documents to be executed by such Company and the consummation by each Company of the transactions contemplated hereby and thereby will not, with or without the giving of notice or the lapse of time, or both, (i) violate any provision of the organizational documents of such Company or any other member of the Company Group; (ii) violate any provision of Law to which such Company or any other member of the Company Group is subject, (iii) violate any Order applicable to such Company or any other member of the Company Group, or (iv) violate, result in a breach of or constitute a default (or an event which might, with the passage of time or the giving of notice, or both, constitute a default) or require the consent of any third party or give rise to any right of termination, cancellation or acceleration under, any material indenture, deed of trust, mortgage, loan or credit agreement, license, permit, contract, lease, or other agreement, instrument or commitment to which such Company or any other member of the Company Group is a party or by which any such Person may be bound, or result in the creation or imposition of any Lien upon any assets or property of the Company Group; except, in the case of clause(iv) above, for violations, breaches, events, or defaults that would not, individually or in the aggregate, reasonably be expected to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member of the Company Group is insolvent or unable to pay its debts as they fall due within the meaning of any applicable insolvency legislation, and no member of the Company Group has stopped paying its material debts as they fall due. No order has been made, and no petition has been presented or resolution passed, for the winding up of any member of the Company Group or for the appointment of an administrator, liquidator or provisional liquidator (or equivalent in the jurisdiction of its incorporation). No process has been initiated which would reasonably be expected to lead to any member of the Company Group being dissolved and its assets being distributed amongst its creditors, shareholders or other contributors.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member of the Company Group has executed any power of attorney or conferred on any Person any authority to enter into any transaction on behalf of or bind it in any way and which power of attorney or authority remains in force, other than any power of attorney or authority granted to any officer, manager, employee, director, secretary, authorized signatory, or other equivalent function holder of the Company Group to enter into routine trading contracts or to bind such member of the Company Group in the normal course of their duties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xml:space="preserve"> sets forth a true and correct list of each director, manager, officer or other equivalent function holder of each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caps w:val="false"/>
          <w:smallCaps w:val="false"/>
          <w:sz w:val="20"/>
        </w:rPr>
        <w:t>Capitalization.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xml:space="preserve"> sets forth the authorized and issued equity interests in each Company, all of which are held of record by Seller free and clear of all Liens, are duly authorized, are validly issued and are non-assessable, and except as set forth on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there is no subscription, option, warrant, call right, agreement or commitment relating to the issuance, sale, delivery, transfer or redemption by either Company (including any right of conversion or exchange under any outstanding security or other instrument) of any equity, ownership or profit sharing interests of either Company or to any other member of the Company Group. All of Companies’ (and each other member of the Company Group’s) equity interests have been issued in compliance with applicable Laws and except as provided by applicable Law, are not subject to any preemptive or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xml:space="preserve">, there are no outstanding securities convertible into, exchangeable for or carrying the right to acquire equity securities of either Company or any other member of the Company Group or subscriptions, warrants, options, rights, or other binding commitments obligating either Company or any other member of the Company Group to issue or dispose of any of its equity securities or any ownership interest therein. No member of the Company Group is a party to, or otherwise bound by, and has not granted or authorized, any equity appreciation rights, participation, phantom equity or similar rights.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no member of the Company Group is party to (nor is any other Person party to) any voting trusts, voting agreements, proxies, equityholder agreements, or other agreements that restrict the voting or transfer of the Purchased Equity or the equity interests of any other member of the Company Group. Upon consummation of the transactions contemplated by this Agreement, at the Closing Buyer will own, free and clear of all Liens, all of the Purchased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cancellation of all outstanding XpresTest RSAs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Purchased Equity shall constitute one hundred percent (100%) of the issued and outstanding equity interests of each Company, and no other equity interests, options, warrants, convertible securities, or other rights to acquire equity interests in either Company shall remain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caps w:val="false"/>
          <w:smallCaps w:val="false"/>
          <w:sz w:val="20"/>
        </w:rPr>
        <w:t>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sets forth a correct and complete list of each Person in which either Company or any of its Subsidiaries holds any equity, ownership or profit sharing interest (collectively, the “</w:t>
      </w:r>
      <w:r>
        <w:rPr>
          <w:rFonts w:ascii="Times New Roman;Times;Serif" w:hAnsi="Times New Roman;Times;Serif"/>
          <w:b w:val="false"/>
          <w:i w:val="false"/>
          <w:caps w:val="false"/>
          <w:smallCaps w:val="false"/>
          <w:sz w:val="20"/>
          <w:u w:val="single"/>
        </w:rPr>
        <w:t>Other Company Group Members</w:t>
      </w:r>
      <w:r>
        <w:rPr>
          <w:rFonts w:ascii="Times New Roman;Times;Serif" w:hAnsi="Times New Roman;Times;Serif"/>
          <w:b w:val="false"/>
          <w:i w:val="false"/>
          <w:caps w:val="false"/>
          <w:smallCaps w:val="false"/>
          <w:sz w:val="20"/>
        </w:rPr>
        <w:t xml:space="preserve">”), indicating its jurisdiction of incorporation or formation, and the direct owner(s), and percentage of equity interests held by each such direct owner. Neither the Company, nor any Other Company Group Member, has agreed to acquire any equity interests in any company other than an Other Company Group Member. Neither Company, nor any Other Company Group Member (x) has any binding obligation to become a member of any partnership, joint venture, consortium or other unincorporated association with any third party, or (y) has any branch or permanent establishment or registration as a foreign entity outside its country or state (as applicable) of incorporation and does not control or take part in the management of any company or business organization. Each Other Company Group Member: (i) is validly existing under the Laws of the jurisdiction of its incorporation or organization; (ii) has all requisite corporate power and authority and all Permits necessary to own, lease and operate its properties and to carry on its business as it is now being conducted; and (iii) is duly qualified or authorized to do business and is in good standing in every jurisdiction (to the extent such concept exists in such jurisdiction) in which its ownership of property or the conduct of business as now conducted requires it to qualify,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3.3(b)</w:t>
      </w:r>
      <w:r>
        <w:rPr>
          <w:rFonts w:ascii="Times New Roman;Times;Serif" w:hAnsi="Times New Roman;Times;Serif"/>
          <w:b w:val="false"/>
          <w:i w:val="false"/>
          <w:caps w:val="false"/>
          <w:smallCaps w:val="false"/>
          <w:sz w:val="20"/>
        </w:rPr>
        <w:t>, all outstanding shares of capital stock or other equity or voting securities or equity or voting interests of each Other Company Group Member are owned directly or indirectly by either Company, free and clear of all Liens, other than transfer restrictions arising under applicable securities Laws and any restrictions on the transfer of such securities (including any rights of pre-emption or other rights of any third party) arising under applicable Law or the organizational documents of the applicable Subsidiary. All outstanding shares of capital stock of or other equity or voting securities or equity or voting interests in each Other Company Group Member have been duly authorized and validly issued and are fully paid, nonassessable and, other than those arising under or imposed by applicable Law, free of preemptive (or similar antidilution) rights. There are no stockholder agreements, voting trusts or other binding agreements to which any of the Other Company Group Members is a party or by which it is bound relating to the voting or registration of any capital stock or other equity securities or equity interests of any such Other Company Group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caps w:val="false"/>
          <w:smallCaps w:val="false"/>
          <w:sz w:val="20"/>
        </w:rPr>
        <w:t>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True, correct and complete copies of the (i) the audited consolidated balance sheet of Seller and its Subsidiaries (including the Company Group) as of December 31, 2024 and December 31, 2025, and the related audited consolidated statements of operations and comprehensive loss, changes in temporary equity and stockholders’ equity (deficit) and cash flows for the years then ended, together with the notes thereto (the “</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(ii) the unaudited consolidated balance sheet of Seller and its Subsidiaries (including the Company Group) as of March 31, 2026, and the related unaudited consolidated statements of operations and comprehensive loss, changes in temporary equity and stockholders’ equity (deficit) and cash flows for the three (3) month period ended March 31, 2026 (the “</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 xml:space="preserve">”, and together with the Audited Financial Statements, the “Financial Statements”), are attached as </w:t>
      </w:r>
      <w:r>
        <w:rPr>
          <w:rFonts w:ascii="Times New Roman;Times;Serif" w:hAnsi="Times New Roman;Times;Serif"/>
          <w:b w:val="false"/>
          <w:i w:val="false"/>
          <w:caps w:val="false"/>
          <w:smallCaps w:val="false"/>
          <w:sz w:val="20"/>
          <w:u w:val="single"/>
        </w:rPr>
        <w:t>Schedule 3.4(a)</w:t>
      </w:r>
      <w:r>
        <w:rPr>
          <w:rFonts w:ascii="Times New Roman;Times;Serif" w:hAnsi="Times New Roman;Times;Serif"/>
          <w:b w:val="false"/>
          <w:i w:val="false"/>
          <w:caps w:val="false"/>
          <w:smallCaps w:val="false"/>
          <w:sz w:val="20"/>
        </w:rPr>
        <w:t>. The parties acknowledge that the Financial Statements are presented on a consolidated basis for Seller and its Subsidiaries and are not presented solely with respect to the Company Group. All back-up files, schedules, workpapers, and support materials regarding the Company Group (including any segment, divisional, or subsidiary-level financial data, intercompany allocation schedules, cost-sharing records, and any other materials) provided by Seller and the Company Group to Buyer prior to the date hereof (i) are true, correct and complete in all material respects, (ii) accurately reflect, in all material respects, the assets, liabilities, financial position, results of operations (including profits or losses, as the case may be) and cash flows attributable to the Company Group for the applicable periods, (iii) were prepared using the same accounting policies, methods, and practices applied in the preparation of the Financial Statements, consistently applied, and (iv) may be relied upon by Buyer in its preparation of pro forma carve-out financial statements for the Company Group. Seller has not withheld or failed to disclose to Buyer any back-up files, schedules, workpapers, or support materials in its or the Company Group’s possession or control that would be material to, or necessary for, Buyer’s preparation of pro forma carve-out financial statements for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Financial Statements have been prepared in all material respects using the same accounting policies, methods, principles and practices as those applied in the preparation of the audited consolidated financial statements of Seller and its Subsidiaries (including the Company Group) for the fiscal years ended December 31, 2025 and December 31, 2024, consistently applied throughout the periods covered thereby.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accurately reflect in all material respects the revenues, expenses, assets, liabilities and cash flows attributable to the Company Group as part of Seller’s consolidated enterprise for the periods covered, including all allocations of shared costs and intercompany charges between the Company Group and the other businesses of Seller and its Subsidiaries, which allocations have been made on a reasonable and consistent basis. The accounting policies and allocation methodologies used in the preparation of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have not been changed in a manner that would be adverse to the Company Group or that would misstate the Company Group’s contribution to Seller’s consolidated financial position or results of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Financial Statements (including the notes thereto) present fairly in all material respects and in accordance with GAAP, consistently applied, the assets, liabilities, financial position, results of operations (including profits or losses, as the case may be) and cash flows of the Company Group for the applicable year or the period then ended, except (A) as otherwise noted therein, (B) in the case of the Interim Financial Statements, for the absence of footnote disclosures and other presentation items and normal year-end reclassifications and adjustments which would not be material in amount in the aggregate or material in nature, (C) the Financial Statements do not reflect the push-down of costs, assets or liabilities that might be required in preparing carve-out financial statements, and do not necessarily reflect what the financial position, results of operations, or cash flows of the Business would have been had it operated as a stand-alone entity during the periods presented, and (D) the Financial Statements reflect the Business as being part of Seller and its relevant Affiliates’ consolidated group (as opposed to a stand-alone basis) from a tax accounting perspective. There has been no material change in the accounting methods or practices of the Company Group since the date covered by the Unaudited Financial Statements. The Financial Statements were derived from the books and records of the Company Group. The books and records of the Company Group are true and correct in all material respects, and in reasonable detail accurately and fairly reflect actual, bona fide transactions of the Company Group in accordance with GAAP and the Accounting Principles. There are no significant deficiencies or material weaknesses in the design or operation of any internal controls of the Company Group that adversely affect its ability to record, process, summarize and report financial information.</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Schedule 3.4(d)</w:t>
      </w:r>
      <w:r>
        <w:rPr>
          <w:rFonts w:ascii="Times New Roman;Times;Serif" w:hAnsi="Times New Roman;Times;Serif"/>
          <w:b w:val="false"/>
          <w:i w:val="false"/>
          <w:caps w:val="false"/>
          <w:smallCaps w:val="false"/>
          <w:sz w:val="20"/>
        </w:rPr>
        <w:t>, the Company Group does not have any Liability, except (i) Liabilities that are accrued or reserved against in the Financial Statements, (ii) Liabilities which have been incurred since December 31, 2025 (the “</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in the Ordinary Course of Business (none of which results from, arises out of or relates to, is in the nature of, or was caused by any breach of contract, breach of warranty, tort, environmental matter, infringement or violation of Law) and that have been or will be accrued in the calculation of Net Working Capital, (iii) Liabilities incurred in connection with the performance of executory Contracts to which any member of the Company Group is a party as of or following the date of the Recent Balance Sheet Date (including any Contracts entered into after the date hereof in compliance with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(none of which arises out of any breach of contract, breach of warranty, environmental matter or violation of Law), (iv) Liabilities otherwise disclosed in the Schedules but only to the extent such Liability is reasonably apparent on the face of the Schedule, (v) Liabilities that are included in the calculation of Indebtedness, Net Working Capital or Sale Expenses, and (vi) Liabilities not otherwise described in the immediately preceding clauses (i)-(v) that do not, individually or in the aggregate, exceed $50,000.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all accounts, notes and other receivables of the Company Group (collectively, the “</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that are reflected on the Interim Financial Statements or that have arisen since the date of the Interim Financial Statements through the date hereof, (i) are derived from the books and records of the Company Group, (ii) represent bona fide monies due for goods actually sold and delivered or services actually rendered by the Company Group in the Ordinary Course of Business, and (iii) are not subject to any material refunds or adjustments or any written (or to the Knowledge of the Seller, oral) assertions of rights of set-off in excess of the reserves included specifically therefor on the balance sheet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as applicable. The Reserve Amount has been established consistent with past practice of the Company Group. No Receivable has been assigned or transferred to any other Person or subjected to any Lien (other than Permitted Liens), and no Receivable has been sold, factored, or otherwise monetized prior to its stated due date.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xml:space="preserve"> or specifically reserved for on the Interim Financial Statements, there is no dispute in writing (or, to Seller’s Knowledge, otherwise) regarding the collectability of any such Receivables.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maintains and complies in all material respects with a system of accounting controls sufficient to provide reasonable assurances that (i) its business is operated, in all material respects, in accordance with management’s general or specific authorization and with applicable Laws, (ii) material transactions are recorded as necessary to permit preparation of financial statements in conformity with GAAP and the Accounting Principles and to maintain accountability for the items therein and (iii) access to properties and assets is permitted, in all material respects, in accordance with management’s general or specific authorization. There has never been any illegal act or fraud with respect to the Company Group that involves any of the management or other employees of the Company Group, nor any written (or, to the Seller’s Knowledge, oral) claim or allegation regarding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3.4(g)</w:t>
      </w:r>
      <w:r>
        <w:rPr>
          <w:rFonts w:ascii="Times New Roman;Times;Serif" w:hAnsi="Times New Roman;Times;Serif"/>
          <w:b w:val="false"/>
          <w:i w:val="false"/>
          <w:caps w:val="false"/>
          <w:smallCaps w:val="false"/>
          <w:sz w:val="20"/>
        </w:rPr>
        <w:t xml:space="preserve"> sets forth the Indebtedness of the Company Group. No member of the Company Group has received any written (or, to the Seller’s Knowledge, oral) notice of any event which (i) constitutes a material event of default (howsoever described), or otherwise gives rise to an obligation to accelerate the repayment of, or to give security under any agreement to which any member of the Company Group is party relating to borrowing or indebtedness in the nature of borrowing or (ii) will lead to any security for any borrowing or indebtedness in the nature of borrowing or allows any guarantee, indemnity or other material obligation of any member of the Company Group to be enforced.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3.4(h) sets forth the Cash and Cash Equivalents held by the Company Group as of June 26, 2026 in each non-U.S.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caps w:val="false"/>
          <w:smallCaps w:val="false"/>
          <w:sz w:val="20"/>
        </w:rPr>
        <w:t>Absence of Certain Developments.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xml:space="preserve"> or as otherwise expressly contemplated or required by this Agreement or any Transaction Document, since December 31, 2025, (x) the Company Group has conducted its business in the Ordinary Course of Business, (y) there has been no Material Adverse Effect and (z) without limiting any of the foregoing, except as set forth on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no member of the Company Group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sold, leased, transferred or assigned any of its material assets, tangible or intangible, other than for commercially reasonable consideration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entered into, or accelerated, terminated, modified or canceled, any Material Contract or Permit (or series of related contracts or Permits) outside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entered into, or accelerated, terminated, modified or canceled, any Material Contract with any Governmental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canceled, compromised or waived any right of material value or forgave, canceled, compromised or waived any material debt owed to or material claim outstanding against (i) any member of the Company Group, Seller, or any of their respective Affiliates, or (ii) any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imposed (or allowed to be imposed) any Lien upon any of its material assets, tangible or intangible, other than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made any capital expenditure (or series of related capital expenditures) requiring payments of more than $75,000 in the aggregate, other than such capital expenditures made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made any capital investment in, or any loan to, or any acquisition of the securities or a material amount of the assets of, any other Person (or series of related capital investments, loans or acquisitions) (other than acquisitions of assets used in the Business from suppliers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issued any note, bond or other debt security or created, incurred assumed or guaranteed any Indebtedness other than in the Ordinary Course of Business (it being understood that no Indebtedness shall be deemed to be in the Ordinary Course of Business unless consistent with past practice and not exceeding $25,000 individually or $50,000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materially delayed or postponed the payment of accounts payable or other Liabilities past the applicable due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deferred or modified in any material respect payment terms with respect to any material accounts receivable, or received any request to take such actions from any third party or, except as reflected in the Interim Financial Statements, written off any material accounts receivable or increased any reserves for uncollectible accounts, in each case, other than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declared, set aside or paid any dividend or made any distribution with respect to its equity interests (whether in cash or in kind) or redeemed, purchased or otherwise acquired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entered into any collective bargaining agreement (or similar arrangement), or any contract with any employee leasing agency or modified the terms of any such existing contract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entered into or amended any Material Contract with any individual (i) for the employment or engagement of such individual on a full-time, part-time, consulting or other basis that provides for annual compensation that exceeds $150,000 (other than offer letters or agreements that can be terminated at-will without any material Liability), or (ii) that provides for severance, change in control, retention, stay, deferred compensation or other similar bonuses or termination pay to such individual;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adopted, established, amended, modified or terminated any Seller Benefit Plan or Company Benefit Plan, other than as required to comply with applicable Law or as part of the annual enrollment process;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paid, or committed to pay (whether or not in writing), any material severance, termination or similar payment to any current or former employee, other than as required by Law or pursuant to the terms of any Seller Benefit Plan, any Company Benefit Plan or any existing employment agreement made available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made any entity classification or other material Tax election, adopted or changed any Tax accounting method or policy, filed any income or other material amended Tax Return, consented to or entered into any closing agreement or similar agreement with any Governmental Authority regarding Taxes, consented to or settled or compromised any Tax claim or assessment or taken any position inconsistent with any past practice on any Tax Return, or surrendered any right to claim a refund of any income or other material Taxes;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made or granted any bonus or any wage, salary or compensation or other benefit increase to any employee or other individual service provider of the Companies, other than in the Ordinary Course of Business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transferred or assigned any material rights under or with respect to any Intellectual Property, (ii) granted, licensed or sublicensed any rights in any material Intellectual Property, other than non-exclusive licenses granted to customers or manufacturers in the Ordinary Course of Business, or (iii) disclosed to any Person (except pursuant to a written nondisclosure agreement), or, allowed to fall into the public domain, any material trade secrets or other material confidential information, or abandoned, permitted to lapse or failed to maintain in full force and effect any Company IP other than any non-material Company IP that is no longer used or useful in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experienced any material damage, destruction or loss to its property (whether or not covered by insurance);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failed to (i) maintain insurance policies or risk management programs, or (ii) in the event of material casualty, loss or damage to any assets of the Company Group, use commercially reasonable efforts to repair or replace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changed its accounting policies and practices as in effect on the date of the latest Unaudited Financial Statements in any material respect or changed its fiscal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amended or authorized an amendment to its charter or other organizational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split, combined or reclassified any shares or units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issued, sold or otherwise disposed of any of its equity interests, or granted any options, warrants or other rights to purchase or obtain (including upon conversion, exchange or exercise)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entered into any material transaction outside of the Ordinary Course of Business or changed any material business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settled, initiated, compromised, paid, discharged, waived, released or resolved any Action;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agreed or committed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caps w:val="false"/>
          <w:smallCaps w:val="false"/>
          <w:sz w:val="20"/>
        </w:rPr>
        <w:t>Compliance with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the Company Group is, and during the past three (3) years has been, in compliance in all material respects with all applicable Laws, including those relating to the operation of the Business and each of its senior management and, to the Knowledge of the Seller, other employees is in compliance in all material respects with all applicable Laws which relate to the operation of the Business. During the three (3) years prior to the date of this Agreement, no member of the Company Group received any written (or, to the Knowledge of the Seller, oral) notification from any Governmental Authority asserting that any member of the Company Group is not in compliance, in any material respect, with any applicable Law, and to the Knowledge of the Seller, no claim has been filed against any member of the Company Group alleging a violation of any applicable Law in any material respect. No member of the Company Group is currently subject (nor has any such Person been subject in the past three (3) years) to any unresolved Action, investigation, penalty assessment, or audit by any Governmental Authority that would reasonably be expected to result in material Liability to the Company Group, taken as a whole.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3.6(b)</w:t>
      </w:r>
      <w:r>
        <w:rPr>
          <w:rFonts w:ascii="Times New Roman;Times;Serif" w:hAnsi="Times New Roman;Times;Serif"/>
          <w:b w:val="false"/>
          <w:i w:val="false"/>
          <w:caps w:val="false"/>
          <w:smallCaps w:val="false"/>
          <w:sz w:val="20"/>
        </w:rPr>
        <w:t xml:space="preserve"> sets forth all Permits held by the Company Group, which Permits constitute all of those that are necessary for the conduct of the Business as presently conducted, except for those for which failure to possess would not be adverse to the Business (taken as a whole) in any material respect. No loss or expiration of any such Permit is pending or threatened in writing (or, to the Seller’s Knowledge, orally) (including, without limitation, as a result of the transactions contemplated by this Agreement and the other Transaction Documents) other than by reason of expiration in accordance with the terms thereof. All such Permits are in full force and effect, and during the three (3) years prior to the date of this Agreement, the members of the Company Group have conducted their respective business operations in accordance with the requirements of such Permits, other than any such non-compliance that would not be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neither the Company Group, nor, to the Knowledge of the Seller, any of its officers, directors, managers, agents or employees acting directly or indirectly on their behalf, is currently, or in the past three (3) years has been: (i) a Sanctioned Person, (ii) engaging, directly or indirectly, in any dealings or transactions with any Sanctioned Person or in any Sanctioned Country, or (iii) otherwise in violation of applicable Sanctions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past three (3) years, none of the Company Group, nor any of their officers, directors, or managers acting on behalf of the Company Group, has (i) violated or is in violation of any provision of the Foreign Corrupt Practices Act of 1977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(ii) taken any unlawful action in furtherance of an offer, payment, promise to pay, or authorization or approval of the payment or giving of money, property, gifts or anything else of value, directly or indirectly, to any “foreign official” (as such term is defined in the FCPA); (iii) violated or is in violation of any applicable provision of the OECD Convention on Bribery of Foreign Public Officials in International Business Transactions or any other applicable anti-bribery or anti-corruption Law (“</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(iv) made any bribe, rebate, payoff, influence payment, kickback or other unlawful payment; or (v) used any corporate funds for any unlawful contribution, gift, entertainment or other unlawful expense relating to political activity. Each member of the Company Group has established and maintains reasonable internal controls, policies and procedures consistent with its size and the nature of its business intended to ensure compliance with applicable Bribery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member of the Company Group has complied in all material respects with all Laws applicable to it related to export control and the import and export of goods, services, commodities, Software, technology and other items (“</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No member of the Company Group has, in any material respect, violated the anti-boycott provisions of 50 U.S.C. Sections 2401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or taken any action that would reasonably be expected to result in a penalty under Section 999 of the Code. No member of the Company Group has engaged in any exportation or re-exportation of goods, services, commodities, Software or technology in a manner that is prohibited under any applicable Export/Import Laws. Each member of the Company Group has timely paid all applicable import and customs duties, tariffs, levies and impositions and timely submitted all applicable documents required under the Export/Import Laws to the applicable Governmental Authority for the importation of goods, commodities and other items, and all such documents submitted were true, accurate and complete in all material respects when submitted. There is no Action pending or threatened in writing (or, to the Seller’s Knowledge, orally) against any member of the Company Group before or by any Governmental Authority related to any violation of any Export/Import Laws. Each member of the Company Group has established and maintains reasonable internal controls, policies and procedures consistent with its size intended to ensure compliance with applicable Export/Import Laws.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has complied in all material respects with its anti-Modern Slavery Practice policies, true, correct and complete copies of which are contained within the Data Room. The Company Group and, to Seller’s Knowledge, its suppliers have in place policies and procedures reasonably designed to minimize the risk of any Modern Slavery Practice taking place in its business or supply chain or of an infringement of any Law relating to anti-slavery or servitude, forced or compulsory labor and/or anti-human trafficking anywhere in the world.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Seller, no agreement, transaction, practice, conduct or arrangement carried on by the Company Group is or has been subject to any investigation, request for information, notice or other communication by any court or Governmental Authority under any competition, anti-restrictive trade practice, anti-trust or consumer protection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 3.7</w:t>
      </w:r>
      <w:r>
        <w:rPr>
          <w:rFonts w:ascii="Times New Roman;Times;Serif" w:hAnsi="Times New Roman;Times;Serif"/>
          <w:b w:val="false"/>
          <w:i w:val="false"/>
          <w:caps w:val="false"/>
          <w:smallCaps w:val="false"/>
          <w:sz w:val="20"/>
        </w:rPr>
        <w:t xml:space="preserve">, there is no Action pending or threatened in writing (or, to the Knowledge of Seller, orally) (a) against any member of the Company Group, or any property or asset of the Company Group (including any property or asset to be contributed to the Company Group as part of the Pre-Closing Reorganization), or any of the officers, directors or employees of the Company Group in regards to their actions or status as such, except for such Actions as would not, individually or in the aggregate, be material to the Company Group, taken as a whole, (b) that challenges or seeks to enjoin, delay or obtain damages in respect of this Agreement, the Sale or the transactions contemplated hereby or (c) would reasonably be expected to materially adversely affect the Company’s ability to perform its obligations under this Agreement or the other Transaction Documents or to consummate the Sale or the transactions contemplated hereby.. There is no outstanding Order, writ, judgment, injunction, decree, determination or award of, or investigation pending or threatened in writing (or, to the Knowledge of Seller, orally) by, any Governmental Authority against the Company Group, any of its properties or assets or any of the Company Group’s officers, directors or employees (in their respective capacities as such), except for such matters as would not, individually or in the aggregate, be material to the Company Group, taken as a whole. There are no Actions involving the Company Group that have been resolved within the three (3)-year period preceding the date of this Agreement for which any member of the Company Group has unsatisfied or ongoing material obligations or other material Liabilities. No matter disclosed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if decided or resolved unfavorably to any member of the Company Group, would reasonably be expected to prevent the consummation of the transactions contemplated under this Agreement or another Transaction Document, result in any transactions contemplated under this Agreement or the other Transaction Documents being declared unlawful or rescinded or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caps w:val="false"/>
          <w:smallCaps w:val="false"/>
          <w:sz w:val="20"/>
        </w:rPr>
        <w:t>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and its Subsidiaries have timely filed all income or other material Tax Returns required to be filed by or on behalf of each Company or its Subsidiaries (taking into account any extensions of time to file). All Taxes due and owing by each Company and its Subsidiaries (whether or not actually shown on any Tax Return) on all such Tax Returns have been fully paid or properly accrued, and all such Tax Returns are true, correct and complete in all material respects. No claim has been made in writing (or, to the Seller’s Knowledge, otherwise) by any Governmental Authority in a jurisdiction where a Company or its Subsidiaries do not file Tax Returns that a Company or its Subsidiaries is or may be subject to taxation by that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claim, audit, action, suit, proceeding, or investigation now pending or threatened in writing (or, to the Seller’s Knowledge, orally) against or with respect to any Company, or any Subsidiary in respect of any Tax, and no deficiencies or proposed adjustments that have been fully paid or finally resolved for any amounts of Taxes have been asserted or assessed by any Governmental Authority against any Company or any of its Subsidiaries. There are no Tax rulings, requests for rulings, or closing agreements entered into or requested by any Company or its Subsidiaries, as applicable, which would reasonably be expected to affect its liability for Taxes for taxable periods beginning after the Closing Date and the portion of any Straddle Period beginning after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U.S. federal and applicable state and local income tax classification of each Company and each Subsidiary is set forth in </w:t>
      </w:r>
      <w:r>
        <w:rPr>
          <w:rFonts w:ascii="Times New Roman;Times;Serif" w:hAnsi="Times New Roman;Times;Serif"/>
          <w:b w:val="false"/>
          <w:i w:val="false"/>
          <w:caps w:val="false"/>
          <w:smallCaps w:val="false"/>
          <w:sz w:val="20"/>
          <w:u w:val="single"/>
        </w:rPr>
        <w:t>Schedule 3.8(c)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Liens for Taxes (other than Permitted Liens) upon any of the assets of any Company or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Companies or any Subsidiary (i) has been a member of an affiliated group of corporations within the meaning of Section 1504 of the Code (other than a group the common parent of which is Seller or a Company), or (ii) has any liability for Taxes of any Person (other than a Company and one of its Subsidiaries) under Treasury Regulation Section 1.1502-6 (or any similar provision of state, local, or foreign non-U.S. Law), as a transferee, successor, by contract or otherwise (other than any customary commercial agreements entered into in the ordinary course of business that do not relate primarily to Taxes).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Company and each of its Subsidiaries has timely filed or provided in all material respects all information, returns, or reports, including Forms 1099 and W-2 (and state, local and non-U.S. equivalents) that are required to have been filed or provided and has accurately reported all information required to be included on such returns or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Company and each of its Subsidiaries has timely withheld and timely paid (or remitted or set aside for timely payment, as applicable) to the appropriate Governmental Authority all amounts of Taxes required to have been withheld and paid in connection with any amounts paid or owing to any employee, independent contractor, creditor, equityholder, unit holder, foreign person,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Companies and any of their Subsidiaries will be required to include any material item of income in, or exclude any material item of deduction from, taxable income for any period or portion thereof beginning after the Closing Date (i) under Section 481 of the Code (or any similar provision of state, local, or non-U.S. Law) as a result of a change in method of accounting for a Pre-Closing Tax Period made on or prior to the Closing, (ii) pursuant to the provisions of any agreement entered into with any Governmental Authority or pursuant to a “closing agreement” as defined in Section 7121 of the Code (or any similar provision of state, local, or non-U.S. Law) executed prior to the Closing, (iii) as a result of any intercompany transactions or any excess loss account described in Section 1.1502-19 of the Treasury Regulations (or any similar provision of state, local, or non-U.S. Law) entered into or created prior to the Closing, (iv) as a result of the installment method of accounting, the completed contract method of accounting or the cash method of accounting with respect to a transaction that occurred prior to the Closing, (v) as a result of any prepaid amount received prior to the Closing, (vi) as a result of amounts earned on or before the Closing Date pursuant to Section 951 of the Code (or any similar provision of state, local, or non-U.S. Law), or (vii) election under Section 965(h) of the Code made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Companies or any of their Subsidiaries has agreed to any waivers or extensions of statutes of limitations with any Governmental Authority applicable to any Tax Return, or agreed to any extension of time with respect to a Tax assessment or deficiency, which period (after giving effect to such extension or waiver) has not yet expired. No Company or its Subsidiaries is currently a beneficiary of any extension of time within which to file any Tax Return.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nor any of its Subsidiaries is a party, or otherwise subject, to a Tax Related Agreement which would reasonably be expected to cause the Company or any Subsidiary to become liable after the Closing Date for any Tax liability of any Person that is not the Company or the Subsidiaries, as applicable.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Company or any of its Subsidiaries has distributed the stock of another Person, or has not had its stock distributed by another Person, during the past two years in a transaction that was purported or intended to be governed in whole or in part by Sections 355 or 361 of the Code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Company that is classified as a corporation for U.S. federal income tax purposes or any of its Subsidiaries has been a United States real property holding corporation within the meaning of Section 897(c)(2) of the Code (or any similar provision of state, local, or non-U.S. Law) during the applicable period specified in Section 897(c)(1)(A)(ii) of the Code (or any similar provision of state, local, or foreign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Company or any of its Subsidiaries has participated in any “listed transaction” as defined in Section 6707A of the Code or Treasury Regulation Section 1.6011-4(b)(2) (or any predecessor provision)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Company or any of its Subsidiaries has a permanent establishment in any foreign country other than the country in which such Person is organized and does not engage (and has not engaged) in a trade or business in any foreign country other than the country in which such Person is organized.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related party transactions involving any Company or any of its Subsidiaries have been conducted at arm’s length in compliance with Section 482 of the Code and the Treasury Regulations promulgated thereunder and any comparable provisions of any state, local or non-U.S. Tax Law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of the Company and its Subsidiaries has collected in all material respects all sales and use Taxes required to be collected, and has remitted on a timely basis, such amounts to the appropriate Governmental Authority, or has been furnished properly completed exemption certificates.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Company and each of its Subsidiaries has complied in all material respects with all escheat, unclaimed or abandoned property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Company or any of its Subsidiaries has completed any transaction or made any election that would require a reduction of any Tax attributes including basis in assets (and including basis in the stock of any Subsidiaries), whether by reason of Treasury Regulation Section 1.1502-36(d), Section 108 of the Code or Section 1017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 Company or any of its Subsidiaries has received or applied for any “employee retention credit” under Section 3134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caps w:val="false"/>
          <w:smallCaps w:val="false"/>
          <w:sz w:val="20"/>
        </w:rPr>
        <w:t>Environmental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is conducting, and during the last three (3) years has conducted, its business operations in compliance in all material respects with all Environmental Laws and Environmental Permits (as defined below), except for any non-compliance that has been resolved in all material respects.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Group has obtained and maintained all material Permits required under Environmental Laws for the conduct of its businesses as currently conducted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except for such Environmental Permits the absence of which would not, individually or in the aggregate, reasonably be expected to result in any material Liability or material Loss to the Company Group, taken as a whole, under Environmental Laws. There is no material Action pending or threatened in writing (or, to the Seller’s Knowledge, orally) by any Governmental Authority to revoke, limit or modify such Environmental Permits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Group has not received any written (or, to the Seller’s Knowledge, oral) notice, citation, summons, Order, claim or complaint from any Governmental Authority or any other Person alleging the material violation of Environmental Laws by, or the material Liability or material Loss under Environmental Laws of, the Company Group, which is unresolved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the Ordinary Course of Business or in any credit agreements or real property leases, the Company Group has not undertaken, assumed or provided an indemnity with respect to any material Liability or material Loss of any other Person under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has been no Release of, or exposure of any Person to Hazardous Materials by the Company Group at, in, under, or on any of the Leased Real Property or any real property formerly owned, leased or operated by any Company in each case that has given or that would reasonably be expected to give rise to any material violation by the Company Group or material Liability or material Loss to the Company Group, in each case under applicable Environmental Laws or Environmental Permits.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never owned or operated any underground storage tanks or tank systems at, on or under any Leased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Seller, none of the Leased Real Property is listed on, or being proposed for listing on, the federal Comprehensive Environmental Response, Compensation and Liability Act of 1980 or comparable foreign or state list maintained under an Environmental Law of contaminated or potentially contaminated sites. None of the Leased Real Property is the subject of or, to the Knowledge of the Seller, is being investigated by a Governmental Authority or any other Person to be the subject of, any material Action under an Environmental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has made available to Buyer for review true, correct and complete copies of all Environmental Permits, and all final reports of environmental assessments, audits, and studies with respect to the Leased Real Property any real property formerly owned, leased or operated by a Company, or compliance by the Company Group with Environmental Law, including with respect to the Company Group’s’ business operations or Leased Real Property, in each case that are in the possession or reasonable control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Actions are pending or threatened in writing (or, to the Knowledge of the Seller, orally), against any member of the Company Group in relation to any Environmental Laws or any Hazardous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i/>
          <w:caps w:val="false"/>
          <w:smallCaps w:val="false"/>
          <w:sz w:val="20"/>
        </w:rPr>
        <w:t>Employee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3.10(a)</w:t>
      </w:r>
      <w:r>
        <w:rPr>
          <w:rFonts w:ascii="Times New Roman;Times;Serif" w:hAnsi="Times New Roman;Times;Serif"/>
          <w:b w:val="false"/>
          <w:i w:val="false"/>
          <w:caps w:val="false"/>
          <w:smallCaps w:val="false"/>
          <w:sz w:val="20"/>
        </w:rPr>
        <w:t xml:space="preserve"> sets forth a true, correct and complete list of all current employees of each member of the Company Group (each, an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as of the date hereof, and sets forth each such Employee’s (i) hourly rate of compensation or base salary, as applicable, (ii) position/title, (iii) employing entity, (iv) home department, (v) date of hire and rehire date, as applicable, (vi) work status (i.e., remote, on-site, hybrid, or flex rule office/home), (vii) status as exempt or non-exempt from the overtime requirements of the Fair Labor Standards Act and comparable applicable state Law, (viii) work location, (ix) bonus target, (x) PTO eligibility and accrual, (xi) leave of absence status.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3.10(b)</w:t>
      </w:r>
      <w:r>
        <w:rPr>
          <w:rFonts w:ascii="Times New Roman;Times;Serif" w:hAnsi="Times New Roman;Times;Serif"/>
          <w:b w:val="false"/>
          <w:i w:val="false"/>
          <w:caps w:val="false"/>
          <w:smallCaps w:val="false"/>
          <w:sz w:val="20"/>
        </w:rPr>
        <w:t xml:space="preserve"> sets forth a true, correct and complete list of all individual independent contractors or consultants of the Company Group who are engaged through means other than through a staffing agency, professional employment organization or similar operation (each, a “</w:t>
      </w:r>
      <w:r>
        <w:rPr>
          <w:rFonts w:ascii="Times New Roman;Times;Serif" w:hAnsi="Times New Roman;Times;Serif"/>
          <w:b w:val="false"/>
          <w:i w:val="false"/>
          <w:caps w:val="false"/>
          <w:smallCaps w:val="false"/>
          <w:sz w:val="20"/>
          <w:u w:val="single"/>
        </w:rPr>
        <w:t>Contractor</w:t>
      </w:r>
      <w:r>
        <w:rPr>
          <w:rFonts w:ascii="Times New Roman;Times;Serif" w:hAnsi="Times New Roman;Times;Serif"/>
          <w:b w:val="false"/>
          <w:i w:val="false"/>
          <w:caps w:val="false"/>
          <w:smallCaps w:val="false"/>
          <w:sz w:val="20"/>
        </w:rPr>
        <w:t>”), whether providing services pursuant to a written consulting agreement or otherwise, which indicates for each Contractor: (i) its name; (ii) description of services provided; (iii) location of engagement; (iv) engagement date; and (v) a summary of the fees and other compensation paid in the current calendar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officer, manager or other executive of the Company Group has notified the Company Group in writing that such officer, manager, or other executive intends to terminate his or her employment or engagement, as applicable, with the Company Group, and, to the Seller’s Knowledge, no officer, manager, or other executive of the Company Group has any plans to terminate or modify his or her status as an officer, manager or executive of the Company Group within the six-month period following the date hereof. Except for wages payable for the current payroll period or as set forth in </w:t>
      </w:r>
      <w:r>
        <w:rPr>
          <w:rFonts w:ascii="Times New Roman;Times;Serif" w:hAnsi="Times New Roman;Times;Serif"/>
          <w:b w:val="false"/>
          <w:i w:val="false"/>
          <w:caps w:val="false"/>
          <w:smallCaps w:val="false"/>
          <w:sz w:val="20"/>
          <w:u w:val="single"/>
        </w:rPr>
        <w:t>Schedule 3.10(c)</w:t>
      </w:r>
      <w:r>
        <w:rPr>
          <w:rFonts w:ascii="Times New Roman;Times;Serif" w:hAnsi="Times New Roman;Times;Serif"/>
          <w:b w:val="false"/>
          <w:i w:val="false"/>
          <w:caps w:val="false"/>
          <w:smallCaps w:val="false"/>
          <w:sz w:val="20"/>
        </w:rPr>
        <w:t xml:space="preserve"> as of the date hereof, all compensation, including wages, fees, commissions, bonuses and accrued vacation payable to all current or former employees or independent contractors of the Company Group for services performed on or prior to the date hereof have been paid or properly accrued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is and for the past three (3) years has been in compliance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minimum wages, child labor, hiring, promotion and termination of employees, working conditions, meal and break periods, privacy, health and safety, workers’ compensation, leaves of absence and unemployment insurance. Each current or former employee or independent contractor of, and each other individual performing any services for, the Company Group is and for the past three (3) years has been properly classified in all material respects under applicable Law and each Benefit Plan as a common law employee, independent contractor, leased employee or agent of the Company Group, as applicable.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unfair labor practice charge or complaint against the Company or any of its Subsidiaries is pending or, to the Seller’s Knowledge, threatened or has been brought during the past three (3) years before the National Labor Relations Board or any Governmental Authority. Except as disclosed on </w:t>
      </w:r>
      <w:r>
        <w:rPr>
          <w:rFonts w:ascii="Times New Roman;Times;Serif" w:hAnsi="Times New Roman;Times;Serif"/>
          <w:b w:val="false"/>
          <w:i w:val="false"/>
          <w:caps w:val="false"/>
          <w:smallCaps w:val="false"/>
          <w:sz w:val="20"/>
          <w:u w:val="single"/>
        </w:rPr>
        <w:t>Schedule 3.10(e)</w:t>
      </w:r>
      <w:r>
        <w:rPr>
          <w:rFonts w:ascii="Times New Roman;Times;Serif" w:hAnsi="Times New Roman;Times;Serif"/>
          <w:b w:val="false"/>
          <w:i w:val="false"/>
          <w:caps w:val="false"/>
          <w:smallCaps w:val="false"/>
          <w:sz w:val="20"/>
        </w:rPr>
        <w:t xml:space="preserve">, no labor union currently represents or is recognized by the Company Group or has given the Company Group written notice (or, to the Seller’s Knowledge, other notice) that it intends to organize any employees or contractors of the Company Group. No member of the Company Group is bound by and no employees of the Company Group are otherwise covered by any collective bargaining agreements with respect to their employment with the Company Group. There is no, and there has not at any time during the past three (3) years been any, pending or threatened in writing (or, to the Seller’s Knowledge, orally) union representation or organizational campaign concerning any current or former employees of the Company Group. Except as disclosed on </w:t>
      </w:r>
      <w:r>
        <w:rPr>
          <w:rFonts w:ascii="Times New Roman;Times;Serif" w:hAnsi="Times New Roman;Times;Serif"/>
          <w:b w:val="false"/>
          <w:i w:val="false"/>
          <w:caps w:val="false"/>
          <w:smallCaps w:val="false"/>
          <w:sz w:val="20"/>
          <w:u w:val="single"/>
        </w:rPr>
        <w:t>Schedule 3.10(e)(ii)</w:t>
      </w:r>
      <w:r>
        <w:rPr>
          <w:rFonts w:ascii="Times New Roman;Times;Serif" w:hAnsi="Times New Roman;Times;Serif"/>
          <w:b w:val="false"/>
          <w:i w:val="false"/>
          <w:caps w:val="false"/>
          <w:smallCaps w:val="false"/>
          <w:sz w:val="20"/>
        </w:rPr>
        <w:t>, the Company has not experienced any strike, work stoppage, or material labor dispute within the past three (3) years, and no such dispute is presently underway or threatened in writing (or, to the Seller’s Knowledge, orally).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no current employee of the Company Group is in material violation of any term of any employment agreement, nondisclosure agreement, fiduciary duty, noncompetition agreement, nonsolicitation agreement or restrictive covenant agreement owed to any third party with respect to such Person’s right to be employed or engaged by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past three (3) years, there have been no written internal (or, to the Seller’s Knowledge, oral) complaints submitted to the Company Group concerning sexual harassment or conduct of a sexual nature by any current or former director, officer, or managerial employee of the Company Group. In the past three (3) years, no member of the Company Group has entered into any settlement agreement related to allegations of sexual harassment by any legal or beneficial owner, officer, executive or managerial-level employee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no employee layoff, facility closure (whether voluntary or by order), reduction-in-force, furlough, material work schedule change, or reduction in salary or wages affecting employees of the Company Group that required the issuance of notice under the Worker Adjustment and Retraining Notification Act or similar state or local Law has occurred within the past three (3) months or is currently contemplated, planned or announced.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there are, and during the past three (3) years have been, no Actions against any member of the Company Group pending or threatened in writing to be brought or filed by or with any governmental authority or arbitrator by or on behalf of any employee of the Company Group or otherwise arising under any Law concerning labor, employment, or employment practices or any applicable contractual arrangements.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there have been no material citations, penalties or, to the Seller’s Knowledge, similar enforcement actions by any Governmental Authority arising out of an alleged violation of Occupational Safety and Health Act of 1970, as amended, or similar state or local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Seller’s Knowledge, each employee of the Company Group has the right to legally work in the jurisdiction in which such employee is employed. Each member of the Company Group has properly completed in all material respects a Form I-9 for employees in the United States, Right to Work checks for employees in the UK, or similar requirement under any Law of any other country, as the case may be, to verify the identity and work authorization for each of their respective employees. No member of the Company Group has during the past three (3) years been investigated, raided, audited or fined by any Governmental Authority pursuant to, to enforce, or otherwise in connection with any immigration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i/>
          <w:caps w:val="false"/>
          <w:smallCaps w:val="false"/>
          <w:sz w:val="20"/>
        </w:rPr>
        <w:t>Employee Benefit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3.11(a)</w:t>
      </w:r>
      <w:r>
        <w:rPr>
          <w:rFonts w:ascii="Times New Roman;Times;Serif" w:hAnsi="Times New Roman;Times;Serif"/>
          <w:b w:val="false"/>
          <w:i w:val="false"/>
          <w:caps w:val="false"/>
          <w:smallCaps w:val="false"/>
          <w:sz w:val="20"/>
        </w:rPr>
        <w:t xml:space="preserve"> contains a true, correct and complete list of all material Seller Benefit Plans and all Company Benefit Plan, in each case, separately identifying each Foreign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Seller Benefit Plan and Company Benefit Plan, the Seller has delivered to Buyer true, correct and complete copies of the following (i) the current plan document (including all amendments thereof) and in the case of an unwritten plan, a written summary of the material terms thereof; (ii) the most recent summary plan description and all summaries of material modification thereof; (iii) the three most recent filed Form 5500 annual reports and all schedules thereto; (iv) the most recent determination, opinion or advisory letter issued by the Internal Revenue Service with respect to each plan that is intended to be qualified under Code section 401(a); (v) the most recent actuarial valuation report; (vi) all related trust agreements, insurance contracts, and other funding arrangements; (vii) pending voluntary correction filings with any Governmental Authority and a description of any pending self-correction actions; (viii) copies of each Form 1094-C and Form 1095-C filed on behalf of the employees of the Companies for each of the past six (6) years and (ix) any non-routine correspondence with any Governmental Authority related to any such plan in the most recent three (3) years.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Benefit Plan and each Company Benefit Plan (and each related trust, insurance contract, or fund) has been established, maintained, funded, and administered, in form and operation, in all material respects in accordance with its terms and in compliance with the applicable provisions of ERISA, the Code and all other applicable Laws, and nothing has occurred and no conditions exist with respect thereto that would reasonably be expected to result in a material Tax or penalty. Each participating employer in each of the Seller Benefit Plans and Company Benefit Plans has properly adopted such plan in accordance with its terms and applicable Law, and each participating employer (other than the Company) in each of such plans is (and at all relevant times has been) an ERISA Affiliate.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Seller Benefit Plans or Company Benefit Plans is, and no member of the Company Group sponsors, maintains, participates in, contributes to or is it required or obligated to contribute to, or has any current or contingent Liability or obligation (including on account of any ERISA Affiliate) under or with respect to, any (i) “multiemployer plan” within the meaning of section 3(37) of ERISA, (ii) “defined benefit plan” (as such term is defined in section 3(35) of ERISA or other applicable Law) or other plan that is or was subject to section 412 or 430 of the Code or section 302 or Title IV of ERISA; (iii) “multiple employer plan” within the meaning of section 210 of ERISA or section 413 of the Code, or (iv) “multiple employer welfare arrangement” within the meaning of section 3(40) of ERISA.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Actions pending or threatened in writing (or, to the Seller’s Knowledge, orally) with respect to any of the Seller Benefit Plans or Company Benefit Plans (except for routine and undisputed claims for benefits payable in the normal operation of such plans) or against the assets of any such plans. None of the Seller Benefit Plans, the Company Benefit Plans or any fiduciary thereof is the subject of a pending or threatened (whether in writing or, to the Seller’s Knowledge, orally) audit, investigation or examination by a Governmental Authority. No member of the Company Group nor, to the Knowledge of the Seller, any third party has engaged in a non-exempt “prohibited transaction” within the meaning of section 4975 of the Code or section 406 of ERISA or a breach of fiduciary duty (as determined under ERISA) with respect to any Seller Benefit Plan or any Company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listed on </w:t>
      </w:r>
      <w:r>
        <w:rPr>
          <w:rFonts w:ascii="Times New Roman;Times;Serif" w:hAnsi="Times New Roman;Times;Serif"/>
          <w:b w:val="false"/>
          <w:i w:val="false"/>
          <w:caps w:val="false"/>
          <w:smallCaps w:val="false"/>
          <w:sz w:val="20"/>
          <w:u w:val="single"/>
        </w:rPr>
        <w:t>Schedule 3.11(f)</w:t>
      </w:r>
      <w:r>
        <w:rPr>
          <w:rFonts w:ascii="Times New Roman;Times;Serif" w:hAnsi="Times New Roman;Times;Serif"/>
          <w:b w:val="false"/>
          <w:i w:val="false"/>
          <w:caps w:val="false"/>
          <w:smallCaps w:val="false"/>
          <w:sz w:val="20"/>
        </w:rPr>
        <w:t>, neither the execution and delivery of this Agreement nor the consummation of the transactions contemplated hereby will (whether alone or in conjunction with another event) directly or indirectly (i) result in any payment (whether in cash, property or the vesting of property) becoming due to any current or former employee or other individual service provider of the Company or its Subsidiaries; (ii) increase, or accelerate the time of payment, funding or vesting of, any compensation or benefits, for the benefit of any current or former employee or other individual service provider of the Company or its Subsidiaries; (iii) result in an obligation to fund or otherwise set aside assets to secure to any extent any of the obligations under any Seller Benefit Plan or any Company Benefit Plan; (iv) result in the forfeiture of compensation or benefits under any Seller Benefit Plan or any Company Benefit Plan; or (v) give rise to the payment of any compensatory amount that would not be deductible by the Companies or any of their respective Affiliates by reason of section 280G of the Code or that would be subject to an excise tax under section 4999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Without limiting the generality of the other subsections of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(i) each Foreign Plan required to be registered or intended to meet certain regulatory requirements for favorable tax treatment has been timely and properly registered and has been maintained in good standing with the applicable regulatory authorities and requirements; (ii) each Foreign Plan has been established, maintained, funded and administered in all material respects in accordance with its terms and applicable law; (iii) no Foreign Plan is a defined benefit plan (as defined in ERISA, whether or not subject to ERISA), seniority premium, termination indemnity, provident fund or gratuity, and no Foreign Plan has any unfunded or underfunded liabilities; (iv) all material employer and employee contributions to each Foreign Plan required by Law or by the terms of such Foreign Plan have been timely made, or, if applicable, accrued in accordance with normal accounting practices; and (v) all Foreign Plans that are required to be funded are fully funded, and adequate reserves have been established with respect to any Foreign Plan that is not required to be funded.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have any actual or potential obligation to indemnify, reimburse, or gross-up any Person for any Taxes or interest or penalties that may be imposed, incurred, or accelerated under any applicable Law. Each plan, program, agreement or arrangement that is a “nonqualified deferred compensation plan” (as such term is defined in section 409A(d)(1) of the Code) has been established, documented, operated and maintained, in form and operation, in compliance with section 409A of the Code and all applicable regulations and guidance issued thereunder, and no amount under any such plan, program, agreement or arrangement is, or is reasonably expected to be, or has been subject to the interest or additional Tax set forth under Code section 409A(a)(1)(B).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Benefit Plan and each Company Benefit Plan that is intended to meet the requirements of a “qualified plan” under Code section 401(a) is so qualified and has received a current favorable determination letter from the Internal Revenue Service upon which it may rely or may rely upon a current opinion or advisory letter from the Internal Revenue Service issued to the prototype plan on which such plan is based, and nothing has occurred that would reasonably be expected to adversely affect the qualification of such plan or result in any material Tax or penalty.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Seller Benefit Plan or Company Benefit Plan provides, and the Company Group does not have any obligation to provide, or to pay for or subsidize any amount of, post-employment, post-ownership, or post-termination health, life or other welfare benefits to any Person other than (including for a longer period than) as expressly required by COBRA.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each Seller Benefit Plan and each Company Benefit Plan, all contributions (including all employer contributions and employee salary reduction contributions), distributions, reimbursements and premium payments that are due have been timely made in accordance with the terms of such plan and in compliance with the requirements of all applicable Laws, and all contributions, distributions, reimbursements and premium payments for any period ending on or before the Closing Date that are not yet due have been made or properly accrued in accordance with the provisions of such plan, applicable Law and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Group is, and at all relevant times, has been in compliance in all material respects with the applicable provisions of the Health Care Reform Laws, including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 and neither the Company Group nor any Seller Benefit Plan or any Company Benefit Plan has incurred (and, to the Knowledge of the Seller, nothing has occurred, and no condition or circumstance exists, that would reasonably be expected to subject the Company Group, any ERISA Affiliate or any such plan to) any assessable payment, Tax or penalty under section 4980D or 4980H of the Code or under any other provision of the Health Care Reform Laws. The Company Group has, or has arranged to have, maintained all records reasonably necessary to demonstrate compliance in all material respects with the Health Care Reform Laws.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required reports and descriptions (including, without limitation, Form 5500 annual reports, Form 1094-Cs, Form 1095-Cs, summary annual reports, and summary plan descriptions) with respect to each Benefit Plan, to the extent applicable, have been properly and timely filed and/or distributed to participants and other applicable individuals in all material respects in accordance with the applicable requirements of ERISA and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Knowledge of Seller, none of the Companies or any Person authorized to act on behalf of the Companies has made any promises or commitments to create any additional Seller Benefit Plan or Company Benefit Plan or to modify in any material respect any Seller Benefit Plan or any Company Benefit Plan for the benefit of any employee of the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i/>
          <w:caps w:val="false"/>
          <w:smallCaps w:val="false"/>
          <w:sz w:val="20"/>
        </w:rPr>
        <w:t>Intellectual Property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3.12(a)(i)</w:t>
      </w:r>
      <w:r>
        <w:rPr>
          <w:rFonts w:ascii="Times New Roman;Times;Serif" w:hAnsi="Times New Roman;Times;Serif"/>
          <w:b w:val="false"/>
          <w:i w:val="false"/>
          <w:caps w:val="false"/>
          <w:smallCaps w:val="false"/>
          <w:sz w:val="20"/>
        </w:rPr>
        <w:t xml:space="preserve"> sets forth as of the date hereof a complete and accurate list of all registrations for and pending applications to register Patents, Trademarks, domain names, social media accounts and Copyrights (the “</w:t>
      </w:r>
      <w:r>
        <w:rPr>
          <w:rFonts w:ascii="Times New Roman;Times;Serif" w:hAnsi="Times New Roman;Times;Serif"/>
          <w:b w:val="false"/>
          <w:i w:val="false"/>
          <w:caps w:val="false"/>
          <w:smallCaps w:val="false"/>
          <w:sz w:val="20"/>
          <w:u w:val="single"/>
        </w:rPr>
        <w:t>Registered Company IP</w:t>
      </w:r>
      <w:r>
        <w:rPr>
          <w:rFonts w:ascii="Times New Roman;Times;Serif" w:hAnsi="Times New Roman;Times;Serif"/>
          <w:b w:val="false"/>
          <w:i w:val="false"/>
          <w:caps w:val="false"/>
          <w:smallCaps w:val="false"/>
          <w:sz w:val="20"/>
        </w:rPr>
        <w:t>”), and proprietary Software, in each case that are owned or purported to be owned by the Company Group (together with all other Intellectual Property owned by or purported to be owned by the Company Group, the “</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setting forth as to each such item, as applicable, the jurisdiction in which such item is registered or pending for registration, the date of registration or application for registration, the registration or application number and the owner of such Intellectual Property. Except as set forth in </w:t>
      </w:r>
      <w:r>
        <w:rPr>
          <w:rFonts w:ascii="Times New Roman;Times;Serif" w:hAnsi="Times New Roman;Times;Serif"/>
          <w:b w:val="false"/>
          <w:i w:val="false"/>
          <w:caps w:val="false"/>
          <w:smallCaps w:val="false"/>
          <w:sz w:val="20"/>
          <w:u w:val="single"/>
        </w:rPr>
        <w:t>Schedule ‎ 3.12(a)(ii)</w:t>
      </w:r>
      <w:r>
        <w:rPr>
          <w:rFonts w:ascii="Times New Roman;Times;Serif" w:hAnsi="Times New Roman;Times;Serif"/>
          <w:b w:val="false"/>
          <w:i w:val="false"/>
          <w:caps w:val="false"/>
          <w:smallCaps w:val="false"/>
          <w:sz w:val="20"/>
        </w:rPr>
        <w:t>, the Company IP is solely and exclusively owned free and clear of all Liens and claims of a third party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item of Registered Company IP has been duly applied for and registered in accordance with applicable Law, is validly registered and/or recorded in the name of a member of the Company Group, and is in full force, and all documents, recordations and certificates in connection with such Registered Company IP currently required to be filed have been filed with the relevant authority for the purposes of prosecuting, maintaining, recording and perfecting such rights and the Company Group’s ownership interests therein. There are no unsatisfied past due maintenance or renewal obligations for the Registered Company IP. No Registered Company IP is or has been involved in any opposition, cancellation, interference, inter partes review, reissue, reexamination or other similar proceeding. With respect to any Registered Company IP acquired from a third party, all assignments thereof have been duly recorded with the appropriate authority in accordance with applicable Law.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IP are subsisting, enforceable, and valid. The Company IP, together with the Intellectual Property licensed to the Company Group under the licenses included on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constitute all of the Intellectual Property necessary to conduct the business of the Company Group as conducted prior to the Closing Date, other than Off-the-Shelf Software. The execution, delivery and performance of this Agreement and the consummation of the transactions contemplated hereby will not result in the loss, forfeiture, termination, license, or impairment of the Company Group’s rights in any Company IP or any material IP Agreement, or give rise to any obligation: (i) on the Company Group to transfer or to create, change or abolish, or limit, terminate, or consent to the continued use of, any rights in, or change any royalties, revenue sharing or other payments made with respect to, any Company IP or any material IP Agreement, or (ii) on the Buyer to grant to any other Person any rights or license under any Intellectual Property owned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xml:space="preserve"> sets forth a list of all license, development, royalty, or other agreements, in each case related to Intellectual Property in which any member of the Company Group is a party, under which (i) any member of the Company Group grants a license to any third party to use any Company IP (other than non-exclusive licenses granted to customers or manufacturers in the Ordinary Course of Business), (ii) any member of the Company Group is granted a license under or pays a royalty for any Intellectual Property owned by a third party, and (iii) any material Intellectual Property is developed for the Company Group (each an “</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 </w:t>
      </w:r>
      <w:r>
        <w:rPr>
          <w:rFonts w:ascii="Times New Roman;Times;Serif" w:hAnsi="Times New Roman;Times;Serif"/>
          <w:b w:val="false"/>
          <w:i w:val="false"/>
          <w:caps w:val="false"/>
          <w:smallCaps w:val="false"/>
          <w:sz w:val="20"/>
          <w:u w:val="single"/>
        </w:rPr>
        <w:t>Schedule 3.12(d)(iv)</w:t>
      </w:r>
      <w:r>
        <w:rPr>
          <w:rFonts w:ascii="Times New Roman;Times;Serif" w:hAnsi="Times New Roman;Times;Serif"/>
          <w:b w:val="false"/>
          <w:i w:val="false"/>
          <w:caps w:val="false"/>
          <w:smallCaps w:val="false"/>
          <w:sz w:val="20"/>
        </w:rPr>
        <w:t xml:space="preserve"> sets forth a list of all settlement, coexistence, or similar agreement(s) that imposes a restriction on the Company Group’s use of any Company IP or which otherwise imposes any ongoing obligation related to Company IP or the use thereof, and to which a member of the Company Group is a party (each an “</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The Company Group does not exclusively license any Intellectual Property from a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Neither the Company Group nor the operation of the Business or the Company Group’s products or services infringes, misuses, violates, or misappropriates, or in the six (6) years prior to the date hereof has infringed, misused, violated, or misappropriated any Intellectual Property of any other Person, (ii) the Company Group has not received in the past six (6) years any communication, charge, complaint, claim, demand or notice alleging that the Company Group has infringed, misappropriated, misused, or violated any Intellectual Property of any Person (including any unsolicited demand or request from a third party to license any Intellectual Property), (iii) in the past six (6) years, no claim has been asserted against the Company Group for infringement, misappropriation, misuse, or violation of any Intellectual Property of any Person and no such claim is pending or threatened (including any unsolicited demand or request from a third party to license any Intellectual Property), (iv) the Company Group has not made any written claim (or, to the Seller’s Knowledge, other notice) or sent any written notice (or, to the Seller’s Knowledge, other notice) at any time in the past six (6) years that a Person is infringing, misappropriating, misusing, or violating any Company IP and no such claim is pending or threatened (including any unsolicited demand or request to license any Company IP), and (v) to the Knowledge of the Seller, no Person is infringing, misappropriating, misusing, or violating any Company IP.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Persons that have participated in the development of any material Intellectual Property for or on behalf of the Company Group have executed written instruments (i) that assign to the Company Group all rights, title, and interest in and to any and all such material Intellectual Property developed by such Persons, except where such assignment occurs by operation of law and (ii) obligate the applicable Person to maintain the confidentiality of any confidential information of the Company Group. No third party, including current or former partner, director, officer, member, manager, or employee of the Company Group will, after giving effect to the transactions contemplated hereby, own rights in any Intellectual Property owned or used by the Company Group, including Company IP. No R&amp;D Sponsor has any claim of right or license to, ownership of or other encumbrance on any Company IP. No member of the Company Group has been a member of, a contributor to, or affiliated with, any industry standards organization, body, working group, or similar organization, and no Company IP was developed, in whole or in part, pursuant to or in connection with the development of any professional, technical or industry standard that would subject any Company IP to the rights of any third party or to license any Company IP on any terms not determined by the Company Group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has taken commercially reasonable steps to maintain the registration of and the enforceability of the Company IP, including to maintain the confidentiality of the trade secrets and other material confidential information of the Company Group and any confidential information of a third party held by the Company Group under an obligation of confidentiality. Any third party to whom the Company Group has granted access to its confidential information has executed and delivered to the Company Group a written legally binding agreement, or are otherwise subject to fiduciary or statutory duties or other similar obligations, regarding the protection of such confidential information. There has been no breach of confidentiality obligations or unauthorized disclosure on the part of the Company Group with respect to any confidential information of a third party or by any third party with respect to any confidential information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own any Software that is material to the Business and does not use any third party Software that has been customized specifically for the Company Group and is material to the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i/>
          <w:caps w:val="false"/>
          <w:smallCaps w:val="false"/>
          <w:sz w:val="20"/>
        </w:rPr>
        <w:t>Information Technology, Privacy, and Data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required by applicable Law: (i) maintains appropriate disclosures and policies regarding data security, privacy, data transfer, Processing, and the use of data; (ii) has written agreements; and (iii) has established and maintains commercially reasonable technical, physical and organizational measures designed to protect Company Data, all of the foregoing designed to protect Company Data to which any member of the Company Group has access or otherwise Processes, including against Data Security Breaches. Each member of the Company Group and the operation of the Business is currently in and, within the past six (6) years, has been in material compliance with all Privacy and Data Security Commitments. Neither the execution and delivery of this Agreement nor the consummation of the transactions contemplated herein will result in a material breach or violation of, or constitute a material default under,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past six (6) years, there have been (i) no actions, demands, notices, claims, allegations, inquiries, reprimands, warnings, requests, complaints, audits, proceedings, or investigations initiated by any (a) Governmental Authority, (b) state, federal or foreign self-regulating body, or (c) any Person regarding or alleging that the Processing of Personal Information by any member of the Company Group is in violation of any Privacy and Data Security Commitment, and (ii) no Person has claimed or threatened to claim any material amount of compensation (or an offer for compensation) from any member of the Company Group under or in connection with any actual or alleged violation of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 has obtained all necessary rights, permissions, and consents to permit the transfer of Personal Information in connection with the transactions contemplated by this Agreement; and (ii) will, immediately following the Closing Date, continue to be permitted to Process Personal Information on terms substantially identical to those in effect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six (6) years, to the extent required by applicable Laws or as required pursuant to any contract in which any member of any Company Group is a party, the Company Group has contractually obligated material third party service providers Processing Company Data, in each case on behalf of the Company Group to (i) materially comply with applicable Privacy and Data Security Laws and (ii) take reasonable steps to protect and secure Company Data from loss, theft, unauthorized access, use, modification, disclosure or other misuse.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past six (6) years, there have been no Data Security Breaches material to any member of the Company Group. Each member of the Company Group uses commercially reasonable efforts designed to prevent any Data Security Breaches and protect the confidentiality, integrity and security of the Systems owned or controlled by the Company Group and used in the operation of the Business. All Systems owned or controlled by the Company Group are (i) free from any material defect, bug, programming, design, virus or corruptant or other Software routines or hardware components that are designed to permit unauthorized access or the unauthorized disablement or erasure of such System, and (ii) in sufficiently good working condition to effectively perform all material information technology operations, include a sufficient number of license seats for all third-party licensed Software, and are functional and operate and run in all material respects in a reasonable and efficient business manner, in each case as necessary for the operation of the businesses of the Company Group as currently conducted. All Systems owned or controlled by the Company Group are sufficient in all material respects for the current needs of the Company Group, including as to capacity, scalability and ability to meet current and anticipated peak volumes in a timely manner. There have been no material failures, breakdowns, outages, continued substandard performance, or other material adverse events affecting any such Systems owned or controlled by the Company Group in the three (3) years prior to the date hereof. The Company Group maintains commercially reasonable plans and policies related to data security and Data Security Breaches and has taken commercially reasonable steps to implement such plans and policies in connection with the operation of their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member of the Company Group uses all Generative AI Tools in material compliance with applicable license terms, consents, permissions, agreements, representations or statements made by or on behalf of the Company Group regarding use of Generative AI tools, and Laws (collectively, “</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The Company Group has implemented and maintains commercially reasonable controls, policies, procedures, safeguards, measures, plans, and technological measures regarding each member of the Company Group’s use, development, training and deployment of Generative AI Tools, and the Processing of Company Data in connection therewith. To the Knowledge of the Seller, no member of the Company Group has included any sensitive Personal Information, trade secrets or material confidential or proprietary information of the Company Group, nor of any information from a third party under an obligation of confidentiality by any member of the Company Group, in any prompts or inputs into any Generative AI Tools, except in cases where such Generative AI Tools do not use such information, prompts or services to train the machine learning or algorithm of such tools or improve the services related to such tools. The Company Group has not used Generative AI Tools to develop any material Company IP that the Company Group intends to maintain as proprietary in a manner that materially affects the Company Group’s ownership rights therein. The Company Group has not received any order, request, warning, inquiry, notification, allegation or claim alleging any actual or alleged violation of AI Commitments. The Company Group has not used, disclosed, provided, uploaded or otherwise made available any Company IP or confidential information of the Company Group or any third party data or Personal Information for the purpose of training, retraining fine tuning, evaluating, validating or otherwise improving any artificial intelligence or machine-learning model, system or tool, other than a Closed System Tool under the Company Group’s control and, in the case of third party data and Personal Information, except for as permitted pursuant to the terms of an agreement with such third party. For purposes of the foregoing, “</w:t>
      </w:r>
      <w:r>
        <w:rPr>
          <w:rFonts w:ascii="Times New Roman;Times;Serif" w:hAnsi="Times New Roman;Times;Serif"/>
          <w:b w:val="false"/>
          <w:i w:val="false"/>
          <w:caps w:val="false"/>
          <w:smallCaps w:val="false"/>
          <w:sz w:val="20"/>
          <w:u w:val="single"/>
        </w:rPr>
        <w:t>Closed System Tool</w:t>
      </w:r>
      <w:r>
        <w:rPr>
          <w:rFonts w:ascii="Times New Roman;Times;Serif" w:hAnsi="Times New Roman;Times;Serif"/>
          <w:b w:val="false"/>
          <w:i w:val="false"/>
          <w:caps w:val="false"/>
          <w:smallCaps w:val="false"/>
          <w:sz w:val="20"/>
        </w:rPr>
        <w:t>” means a Generative AI Tool (i) hosted on infrastructure controlled by the Company Group which no third party has access, or (ii) provided by a third party under written terms that expressly prohibit the provider from using any inputs to train or retrain models for the provider or any third party, require segregation and deletion of such data, and grant the provider no rights in the such data beyond those necessary to provide the contracted services.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does not, and in the past five (5) years, has not, collected, used, or Processed Biometric Data.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(i) is not, and in the past six (6) years, has not been, subject to the Health Insurance Portability and Accountability Act, and (ii) does not, and in the past six (6) years, has not, collected, used, or Processed Protected Health Information as a “business associate” or “covered entity” (as such terms are defined in 45 C.F.R. § 160.103).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i/>
          <w:caps w:val="false"/>
          <w:smallCaps w:val="false"/>
          <w:sz w:val="20"/>
        </w:rPr>
        <w:t>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3.14(a)</w:t>
      </w:r>
      <w:r>
        <w:rPr>
          <w:rFonts w:ascii="Times New Roman;Times;Serif" w:hAnsi="Times New Roman;Times;Serif"/>
          <w:b w:val="false"/>
          <w:i w:val="false"/>
          <w:caps w:val="false"/>
          <w:smallCaps w:val="false"/>
          <w:sz w:val="20"/>
        </w:rPr>
        <w:t xml:space="preserve"> contains a list of the following contracts, other than, for purposes of the scheduling obligation only, the Benefit Plans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to which any member of the Company Group is a party or is otherwise bound as of the date hereof (except for purchase or service orders executed in the Ordinary Course of Business pursuant to the Company Group’s standard form (a copy of which has been made available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contracts providing for aggregate payments to or from the Company Group in excess of $250,000 for the 12-month period ended December 31, 2025 or for the three (3)-month period ended March 31, 2026;</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leases or similar agreements under which the Company or any of its Subsidiaries is lessee of any machinery, equipment or vehicle or other tangible personal property owned by a third party, except for any individual leases of personal property under which the aggregate annual rent or lease payments do not exceed $100,000;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contracts that limit the ability of the Company Group to compete in any line of business or with any Person or in any geographic area, or that restricts the right of the Company Group to sell to or purchase from any Person, or that grants the other party or any third person “most favored nation” status with respect to pricing (excluding standard volume-based discounts);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agreements (A) under which any member of the Company Group has created, incurred, assumed guaranteed or secured any Indebtedness, (B) under which any material assets of the Company Group are subject to a security interest securing such indebtedness, or (C) relating to amounts loaned or advanced to any Person (excluding routine advances to employees or trade credit in the Ordinary Course of Business); provided that, for the avoidance of doubt, this clause (iv) shall not include any obligations, security deposits, landlord liens, or credit support set forth in any Real Property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supplier contracts with Specified Suppliers;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contracts requiring the exclusive purchase of, or a minimum annual purchase of, the Company Group’s requirements of a particular product from a supplier, or (B) any “take or pay” contracts, or other contracts concerning exclusivity; provided that, for the avoidance of doubt, Real Property Leases are not “take or pay” contracts and the foregoing shall not include minimum annual guarantee, percentage rent, exclusive possession of the leased premises, or similar payment or operational obligations set forth in any Real Property Lease;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Real Property Leases;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IP Agreements and IP Settlement Agreements;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contracts for the employment of any individual providing for annual base salary in excess of $300,000 that cannot be terminated by any member of the Company Group for any reason upon notice of sixty (60) days or less without material liability (excluding any notice or severance required by applicable Law), or otherwise providing for change in control transaction-based payments, and any agreements with any staffing or professional employer organization regarding the provision of employees;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contracts providing for the establishment or governance of a partnership, joint venture, profit-sharing or similar arrangement;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ACDBE Concession Agreements and ACDBE Joint Venture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all Government Contracts and all other contracts with a Governmental Authority or under which the Company Group has been engaged as a subcontractor under a prime contract with any Governmental Authority (other than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contracts under which the Company Group acquired or disposed of any business, any equity interests in or a material amount of assets of any other Person or any real property (whether by merger, sale of stock, sale of assets or otherwise), in each case, entered into within the three (3) years prior to the date hereof, or under which the Company Group has ongoing material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contracts between any member of the Company Group, on the one hand, and Seller or any Affiliate of any of the Company Group or Seller, on the other hand (other than (x) contracts solely between or among any member of the Company Group, and (y) any employment, compensation, benefit or similar agreements or arrangements entered into the Ordinary Course of Business since December 31, 2023);</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labor or collective bargaining agreements or any other agreement or memorandum of understanding with any union, excluding any national or industry-wide collective bargaining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contracts providing for indemnification of any Person other than (A) commercial contracts entered into in the Ordinary Course of Business (such as standard indemnification in favor of customers, vendors, or landlords), (B) standard director and officer indemnification agreements, and (C)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contracts containing any warranty by the Company Group to any other Person with respect to any product or service offered by the Company Group, where such warranty deviates in any material respect from any member of the Company Group’s standard warranty terms;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settlement, conciliation or similar agreements (A) with any Governmental Authority, (B) pursuant to which the Company Group has any material ongoing payment obligations after the Closing or (C) that materially restricts the future conduct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contracts granting a power of attorney from the Company Group required to be disclosed pursuant to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to the extent not otherwise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any contract under which the consequences of default or termination would reasonably be expected to have a Material Adverse Effect or the performance of which involves annual consideration in excess of $250,000.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Material Contract is in full force and effect, except as may be affected by any Enforceability Exceptions or except where the failure to be in full force and effect would not, individually or in the aggregate, be materially adverse to the Company Group, taken as a whole. The Company Group and, to the Knowledge of the Seller, each of the other parties thereto, have performed in all material respects all obligations required to be performed by them and are not in default in any material respect under any of such Material Contracts. Each such Material Contract does not contravene applicable Laws. Since January 1, 2023, the Company Group has not received any written notice (or, to the Seller’s Knowledge, oral notice) from any other party to any such Material Contract that either (A) involves a claim that a party to a Material Contract has breached any obligations to be performed by it thereunder or (B) expresses an indication that a counterparty to a Material Contract will stop or decrease its rate of business with the Company Group or otherwise desires to renegotiate the material terms of such Material Contract. True, correct and complete copies of each written Material Contract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i/>
          <w:caps w:val="false"/>
          <w:smallCaps w:val="false"/>
          <w:sz w:val="20"/>
        </w:rPr>
        <w:t>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 3.15</w:t>
      </w:r>
      <w:r>
        <w:rPr>
          <w:rFonts w:ascii="Times New Roman;Times;Serif" w:hAnsi="Times New Roman;Times;Serif"/>
          <w:b w:val="false"/>
          <w:i w:val="false"/>
          <w:caps w:val="false"/>
          <w:smallCaps w:val="false"/>
          <w:sz w:val="20"/>
        </w:rPr>
        <w:t xml:space="preserve"> contains a complete and correct list of all current (i.e., policies whose policy period includes the date hereof and/or the Closing Date) policies and contracts for workers’ compensation, property and casualty and other forms of insurance owned or held by the Company Group as of the date hereof or which cover the business or assets of the Company Group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As of the date hereof, all Insurance Policies are in full force and effect, no written notice of cancellation or termination has been received by the Company Group with respect to any Insurance Policies and, to the Seller’s Knowledge, nothing has been done or omitted to be done which would make any policy of insurance of the Company Group void or voidable. All premiums under the Insurance Policies due and payable have been paid and, where applicable, the Company Group has complied in all material respects with the provisions thereof. The Insurance Policies will remain in full force and effect following the Closing without any further action by any party. There are no material claims pending under any of the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i/>
          <w:caps w:val="false"/>
          <w:smallCaps w:val="false"/>
          <w:sz w:val="20"/>
        </w:rPr>
        <w:t>Real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does not own, nor has it ever owned, any real property and is not party to any contract or operation to purchase any real property or interest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contains a list of all leases, subleases or other occupancy agreements (collectively, the “</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pursuant to which the Company Group leases, subleases or occupies any material real property or interest therein or any such lease, sublease or occupancy agreement that will be transferred to Buyer pursuant to this Agreement (each such property,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specifying the name of the lessor, lessee and current occupant (if different from the lessee) and the address thereof, that are in the Company’s actual possession. Correct and complete copies of the Real Property Leases together with all amendments and any applicable SNDAs or estoppels thereto that are in the Company’s actual possession have been made available to Buyer. To the Seller’s Knowledge, each Real Property Lease is valid and binding on the Company Group and on the other parties thereto and is in full force and effect, except as may be affected by any Enforceability Exceptions. To the Seller’s Knowledge, all payments due under the Real Property Leases are current. To Seller’s Knowledge, there is no security deposit or portion thereof deposited with respect to any Real Property Lease that has been applied in respect of a breach or default under such Real Property Lease which has not been deposited in full. The Company’s and the Company Group’s possession and quiet enjoyment of the Leased Real Property under the Real Property Leases has not been disturbed. To the Seller’s Knowledge, there are no parties in possession of any of the Leased Real Property other than the Company Group, and the Company Group’s right to use any Leased Real Property has not been sublet, assigned or otherwise granted to any third Person,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No construction, alteration or other leasehold improvement work with respect to any Real Property Lease remains to be paid for or to be performed by the Company Group,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Neither the whole nor any portion of any Leased Real Property has been and remains damaged or destroyed by fire or other casualty.</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past two (2) year, the Company Group has not received notice (i) of any pending or threatened condemnation or eminent domain proceedings or their local equivalent affecting or relating to Leased Real Property or (ii) from any Governmental Authority or other Person alleging that the use and occupancy of any of any Leased Real Property by the Company Group, as currently used and occupied, and the conduct of their business thereon, as currently conducted, violates in any material respect any deed restrictions, applicable Law consisting of building codes, zoning, subdivision or other similar land use Laws. To the Seller’s Knowledge, there are no options, rights of first offer or rights of first refusal to purchase or lease any of the Leased Real Property or any portion thereof or interest therein other than those specified in the Real Property Leases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does not use, occupy or operate any real property other than the Leased Real Property, and no other real property is necessary for the operation of the Business as currently conducted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and as of the Closing, the Leased Real Property is and will be free and clear of all Liens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the Leased Real Property is adequately served by proper utilities and other building services necessary for its current 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sets forth a true, correct and complete list of each Real Property Lease that contains any provision requiring the consent, approval, or waiver of the landlord, airport authority, or any other counterparty thereto (each, a “</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as a result of, or in connection with, the execution, delivery or performance of this Agreement or the consummation of the transactions contemplated hereby, including any change-of-control, assignment, transfer, or similar provision that is triggered by the direct or indirect transfer of equity interests of any member of the Company Group (each such Real Property Lease, a “</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and each such required consent, approval or waiver, a “</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To Seller’s Knowledge, no Real Property Lease that is not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contains any provision requiring a Required Lease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i/>
          <w:caps w:val="false"/>
          <w:smallCaps w:val="false"/>
          <w:sz w:val="20"/>
        </w:rPr>
        <w:t>Title to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Inventory sold or otherwise disposed of for fair consideration in the Ordinary Course of Business since the Recent Balance Sheet Date, the Company Group has good and valid title to, or a valid leasehold or licensed interest in, all of the material tangible assets and properties used in the conduct of their business (other than (a) properties sold, consumed or otherwise disposed of for fair consideration in the Ordinary Course of Business, and (b) the Corporate Functions, , in each case free and clear of Liens except for Permitted Liens. The buildings, plants, structures, furniture, fixtures, machinery, equipment, vehicles and other items of tangible personal property of the Company Group are in good operating condition and repair (subject to ordinary wear and tear), and are adequate in all material respects for the uses to which they are being put, have been maintained in all material respects in accordance with normal industry practice and none of such material buildings, plants, structures, furniture, fixtures, machinery, equipment, vehicles and other items of tangible personal property is in need of maintenance or repairs except for ordinary, routine maintenance and repairs.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i/>
          <w:caps w:val="false"/>
          <w:smallCaps w:val="false"/>
          <w:sz w:val="20"/>
        </w:rPr>
        <w:t>Product Warranty; Inventories; Product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products produced, processed, marketed, distributed, shipped, or sold, and the services performed, by or on behalf of the Company Group have conformed in all material respects with the written terms and conditions applicable thereto (all applicable contractual commitments and all express warranties), if any, and the Company Group has no material Liability for replacement thereof or other damages in connection therewith in excess of current accruals reflected in the Financial Statements.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discloses the aggregate dollar amount of and circumstances associated with any material product warranty claims currently pending or which were resolved during the twenty-four (24) months preceding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Inventory, whether reflected in the Financial Statements or subsequently acquired, is of a quality and quantity usable and/or salable in the Ordinary Course of Business, subject to reserves for obsolete, excess, slow-moving, damaged and defective inventory or reserves created for shrinkage, seasonality or permanent markdown accruals. The Inventory is reflected in the Financial Statements and in the books and records of the Company Group in accordance with GAAP applied on a basis consistent with past practice. The Inventory is adequate for the conduct of the business of the Company Group and consistent with past practice. Each raw material and finished product included in the Inventory complies in all material respects with all of the Company Group’s internal quality assurance guidelines, except for any such failure that would not have, individually or in the aggregate, a material impact on the Inventory. All Inventory is owned by the Company Group free and clear of all Liens, other than Permitted Liens, and to the Knowledge of the Seller, no Inventory is held on a consignment basis.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3.18(c)</w:t>
      </w:r>
      <w:r>
        <w:rPr>
          <w:rFonts w:ascii="Times New Roman;Times;Serif" w:hAnsi="Times New Roman;Times;Serif"/>
          <w:b w:val="false"/>
          <w:i w:val="false"/>
          <w:caps w:val="false"/>
          <w:smallCaps w:val="false"/>
          <w:sz w:val="20"/>
        </w:rPr>
        <w:t xml:space="preserve"> includes true, correct and complete copies of the standard terms and conditions of sale for each member of the Company Group (which includes, without limitation, any material guaranty, warranty and indemnity provisions). There is no limitation under applicable Law or contract on the Company Group’s ability to sell any products currently sold (including, without limitation, lotions, serums, sunscreens, LED light appliances, and other similar products) at any location of the XpresSpa Airport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Company Group has, in the past five (5) years, had Liabilities with respect to the repair, replacement or return, or any refund or return of the purchase price (or any portion thereof), arising out of, relating to, or otherwise in respect of, any Product Recall (including any part or component and regardless of the date of manufacture) designed, manufactured, assembled, sold or distributed by any member of the Company Group, except, in each case, as would not be material to the Company Group, taken as a whole. For purposes hereof, “</w:t>
      </w:r>
      <w:r>
        <w:rPr>
          <w:rFonts w:ascii="Times New Roman;Times;Serif" w:hAnsi="Times New Roman;Times;Serif"/>
          <w:b w:val="false"/>
          <w:i w:val="false"/>
          <w:caps w:val="false"/>
          <w:smallCaps w:val="false"/>
          <w:sz w:val="20"/>
          <w:u w:val="single"/>
        </w:rPr>
        <w:t>Product Recall</w:t>
      </w:r>
      <w:r>
        <w:rPr>
          <w:rFonts w:ascii="Times New Roman;Times;Serif" w:hAnsi="Times New Roman;Times;Serif"/>
          <w:b w:val="false"/>
          <w:i w:val="false"/>
          <w:caps w:val="false"/>
          <w:smallCaps w:val="false"/>
          <w:sz w:val="20"/>
        </w:rPr>
        <w:t>” shall mean any recall of goods (i) by a Governmental Authority pursuant to applicable Law or (ii) by a manufacturer or provider.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Group has not in the past three (3) years incurred any material Liabilities (whether or not reserved for in the Financial Statements and whether or not insured against under any insurance policy of the Company) for damage or injury to any Person arising out of, relating to, or otherwise in respect of, any products (including any part or component and regardless of the date of manufacture) designed, manufactured, assembled, sold or distributed by the Company Group or any services (regardless of the date of performance) performed by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i/>
          <w:caps w:val="false"/>
          <w:smallCaps w:val="false"/>
          <w:sz w:val="20"/>
        </w:rPr>
        <w:t>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(1) as described on </w:t>
      </w:r>
      <w:r>
        <w:rPr>
          <w:rFonts w:ascii="Times New Roman;Times;Serif" w:hAnsi="Times New Roman;Times;Serif"/>
          <w:b w:val="false"/>
          <w:i w:val="false"/>
          <w:caps w:val="false"/>
          <w:smallCaps w:val="false"/>
          <w:sz w:val="20"/>
          <w:u w:val="single"/>
        </w:rPr>
        <w:t>Schedule ‎ 3.19</w:t>
      </w:r>
      <w:r>
        <w:rPr>
          <w:rFonts w:ascii="Times New Roman;Times;Serif" w:hAnsi="Times New Roman;Times;Serif"/>
          <w:b w:val="false"/>
          <w:i w:val="false"/>
          <w:caps w:val="false"/>
          <w:smallCaps w:val="false"/>
          <w:sz w:val="20"/>
        </w:rPr>
        <w:t xml:space="preserve"> and (2) for any employment, compensation, benefit, or similar agreements or arrangements entered into in the Ordinary Course of Business, since December 31, 2023, none of Seller or any employee, officer, director, or affiliate of Seller, or any of the controlled Affiliates of the foregoing (other than the Company Group) has: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borrowed any material amount of money from, or loaned any material amount of money to, the Company Group (nor has any member of the Company Group drawn any loans from any such Person), in each case, where such loans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guaranteed or provided any material indemnity or security in relation to any debt or obligation of the Company Group (nor has any member of the Company Group guaranteed or provided any indemnity or security in relation to any debt obligation of any such Person), in each case, where such debt or obligation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material contractual claims against the Company Group or engaged in any material transaction with the Company Group (in each case, other than (A) in respect of employment or consulting relationships (B) which are provided for in the organizational documents or (C) this Agreement and the Transaction Documents and the transactions contemplated hereby or thereby), in each case, which continue in effect as of the date hereof;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ownership or leasehold interest in any material property or assets used by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immediately prior to the Closing, there will be no amounts due to (or other obligations in favor of) Seller or any of its Affiliates from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i/>
          <w:caps w:val="false"/>
          <w:smallCaps w:val="false"/>
          <w:sz w:val="20"/>
        </w:rPr>
        <w:t>Suppliers.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is each of the top ten (10) suppliers (by spend for the calendar year ended December 31, 2025 of the Company Group </w:t>
      </w:r>
      <w:r>
        <w:rPr>
          <w:rFonts w:ascii="Times New Roman;Times;Serif" w:hAnsi="Times New Roman;Times;Serif"/>
          <w:b w:val="false"/>
          <w:i w:val="false"/>
          <w:caps w:val="false"/>
          <w:smallCaps w:val="false"/>
          <w:color w:val="0A0A0A"/>
          <w:sz w:val="20"/>
          <w:shd w:fill="FFFFFF" w:val="clear"/>
        </w:rPr>
        <w:t xml:space="preserve">on </w:t>
      </w:r>
      <w:r>
        <w:rPr>
          <w:rFonts w:ascii="Times New Roman;Times;Serif" w:hAnsi="Times New Roman;Times;Serif"/>
          <w:b w:val="false"/>
          <w:i w:val="false"/>
          <w:caps w:val="false"/>
          <w:smallCaps w:val="false"/>
          <w:sz w:val="20"/>
        </w:rPr>
        <w:t>a consolidated basis (the “</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and the aggregate spend for such period with each such Specified Supplier. Since December 31, 2025 no Specified Supplier has provided notice to the Company Group of the termination of its relationship (or intent to terminate its relationship) with the Company Group or otherwise with respect to any material reduction of business with the Company Group. Since December 31, 2025, the Company Group has not ceased (and has no present intent to cease) its business relationship with any Specified Supplier.</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neither Seller nor any member of the Company Group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caps w:val="false"/>
          <w:smallCaps w:val="false"/>
          <w:sz w:val="20"/>
        </w:rPr>
        <w:t>Sufficiency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the Company Group, together with the assets contemplated to be transferred to the Company Group as part of the Pre-Closing Reorganization, and the services to be provided to the Company Group under the Transition Services Agreement, constitute all of the assets, properties and rights necessary for the continued operation of the Business after the Closing in the same manner in all material respects as the Business is currently conducted and has been conducted in the past twelve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caps w:val="false"/>
          <w:smallCaps w:val="false"/>
          <w:sz w:val="20"/>
        </w:rPr>
        <w:t>ACDBE and Local Partner Joint Ventures.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3.23(a)</w:t>
      </w:r>
      <w:r>
        <w:rPr>
          <w:rFonts w:ascii="Times New Roman;Times;Serif" w:hAnsi="Times New Roman;Times;Serif"/>
          <w:b w:val="false"/>
          <w:i w:val="false"/>
          <w:caps w:val="false"/>
          <w:smallCaps w:val="false"/>
          <w:sz w:val="20"/>
        </w:rPr>
        <w:t xml:space="preserve"> sets forth a true, correct and complete list of all concession agreements to which any member of the Company Group is a party that are subject to Airport Concession Disadvantaged Business Enterprise (“</w:t>
      </w:r>
      <w:r>
        <w:rPr>
          <w:rFonts w:ascii="Times New Roman;Times;Serif" w:hAnsi="Times New Roman;Times;Serif"/>
          <w:b w:val="false"/>
          <w:i w:val="false"/>
          <w:caps w:val="false"/>
          <w:smallCaps w:val="false"/>
          <w:sz w:val="20"/>
          <w:u w:val="single"/>
        </w:rPr>
        <w:t>ACDBE</w:t>
      </w:r>
      <w:r>
        <w:rPr>
          <w:rFonts w:ascii="Times New Roman;Times;Serif" w:hAnsi="Times New Roman;Times;Serif"/>
          <w:b w:val="false"/>
          <w:i w:val="false"/>
          <w:caps w:val="false"/>
          <w:smallCaps w:val="false"/>
          <w:sz w:val="20"/>
        </w:rPr>
        <w:t>”) participation requirements imposed by the U.S. Department of Transportation, the Federal Aviation Administration, or any applicable airport authority (each, an “</w:t>
      </w:r>
      <w:r>
        <w:rPr>
          <w:rFonts w:ascii="Times New Roman;Times;Serif" w:hAnsi="Times New Roman;Times;Serif"/>
          <w:b w:val="false"/>
          <w:i w:val="false"/>
          <w:caps w:val="false"/>
          <w:smallCaps w:val="false"/>
          <w:sz w:val="20"/>
          <w:u w:val="single"/>
        </w:rPr>
        <w:t>ACDBE Concession Agreement</w:t>
      </w:r>
      <w:r>
        <w:rPr>
          <w:rFonts w:ascii="Times New Roman;Times;Serif" w:hAnsi="Times New Roman;Times;Serif"/>
          <w:b w:val="false"/>
          <w:i w:val="false"/>
          <w:caps w:val="false"/>
          <w:smallCaps w:val="false"/>
          <w:sz w:val="20"/>
        </w:rPr>
        <w:t>”). With respect to each ACDBE Concession Agreement, the Company Group is in compliance in all material respects with all applicable ACDBE participation requirements, including any minimum ACDBE participation goals established thereunder. No member of the Company Group has received any written notice (or, to the Seller’s Knowledge, any other notice) from any Governmental Authority or airport authority alleging any material failure to comply with any ACDBE participation requirement under any ACDBE Concession Agreement, and no such failure has occurred that would reasonably be expected to result in the termination of any ACDBE Concession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3.23(b)</w:t>
      </w:r>
      <w:r>
        <w:rPr>
          <w:rFonts w:ascii="Times New Roman;Times;Serif" w:hAnsi="Times New Roman;Times;Serif"/>
          <w:b w:val="false"/>
          <w:i w:val="false"/>
          <w:caps w:val="false"/>
          <w:smallCaps w:val="false"/>
          <w:sz w:val="20"/>
        </w:rPr>
        <w:t xml:space="preserve"> sets forth a true, correct and complete list of all joint venture agreements, co-ownership agreements, operating agreements, and similar arrangements between any member of the Company Group and any ACDBE partner or local partner in connection with any airport concession (collectively, the “</w:t>
      </w:r>
      <w:r>
        <w:rPr>
          <w:rFonts w:ascii="Times New Roman;Times;Serif" w:hAnsi="Times New Roman;Times;Serif"/>
          <w:b w:val="false"/>
          <w:i w:val="false"/>
          <w:caps w:val="false"/>
          <w:smallCaps w:val="false"/>
          <w:sz w:val="20"/>
          <w:u w:val="single"/>
        </w:rPr>
        <w:t>ACDBE Joint Venture Agreements</w:t>
      </w:r>
      <w:r>
        <w:rPr>
          <w:rFonts w:ascii="Times New Roman;Times;Serif" w:hAnsi="Times New Roman;Times;Serif"/>
          <w:b w:val="false"/>
          <w:i w:val="false"/>
          <w:caps w:val="false"/>
          <w:smallCaps w:val="false"/>
          <w:sz w:val="20"/>
        </w:rPr>
        <w:t>”). True, correct and complete copies of such ACDBE Joint Venture Agreements have been made available to Buyer in the Data Room. Each ACDBE Joint Venture Agreement is in full force and effect in all material respects and no member of the Company Group is in material breach or default thereunder, and, to the Knowledge of the Seller, no other party to any ACDBE Joint Venture Agreement is in material breach or default thereunder. No event has occurred that, with or without the giving of notice or the lapse of time, or both, would constitute a material breach or default by any member of the Company Group under any ACDBE Joint Venture Agreement or give rise to any right of termination, cancellation or acceleration thereunder. No member of the Company Group has received any written notice of any termination, cancellation, or material modification of any ACDBE Joint Venture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caps w:val="false"/>
          <w:smallCaps w:val="false"/>
          <w:sz w:val="20"/>
        </w:rPr>
        <w:t>Licenses, Permits, and Public Health/Safety Compliance (Spa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location at which any member of the Company Group operates spa, nail, massage, cosmetology, or related wellness services holds and maintains, in full force and effect, all licenses, permits, registrations, certifications, and other regulatory approvals required by applicable Law for the operation of such services at such location, including, without limitation, all massage therapy, nail technician, cosmetology, esthetician, and similar professional or occupational licenses required by applicable state, local, or foreign Governmental Authorities (collectively, the “</w:t>
      </w:r>
      <w:r>
        <w:rPr>
          <w:rFonts w:ascii="Times New Roman;Times;Serif" w:hAnsi="Times New Roman;Times;Serif"/>
          <w:b w:val="false"/>
          <w:i w:val="false"/>
          <w:caps w:val="false"/>
          <w:smallCaps w:val="false"/>
          <w:sz w:val="20"/>
          <w:u w:val="single"/>
        </w:rPr>
        <w:t>Spa Operating Permits</w:t>
      </w:r>
      <w:r>
        <w:rPr>
          <w:rFonts w:ascii="Times New Roman;Times;Serif" w:hAnsi="Times New Roman;Times;Serif"/>
          <w:b w:val="false"/>
          <w:i w:val="false"/>
          <w:caps w:val="false"/>
          <w:smallCaps w:val="false"/>
          <w:sz w:val="20"/>
        </w:rPr>
        <w:t xml:space="preserve">”), except for such Spa Operating Permits the absence of which would not, individually or in the aggregate, materially impair the operation of the business at such location. </w:t>
      </w:r>
      <w:r>
        <w:rPr>
          <w:rFonts w:ascii="Times New Roman;Times;Serif" w:hAnsi="Times New Roman;Times;Serif"/>
          <w:b w:val="false"/>
          <w:i w:val="false"/>
          <w:caps w:val="false"/>
          <w:smallCaps w:val="false"/>
          <w:sz w:val="20"/>
          <w:u w:val="single"/>
        </w:rPr>
        <w:t>Schedule 3.24(a)</w:t>
      </w:r>
      <w:r>
        <w:rPr>
          <w:rFonts w:ascii="Times New Roman;Times;Serif" w:hAnsi="Times New Roman;Times;Serif"/>
          <w:b w:val="false"/>
          <w:i w:val="false"/>
          <w:caps w:val="false"/>
          <w:smallCaps w:val="false"/>
          <w:sz w:val="20"/>
        </w:rPr>
        <w:t xml:space="preserve"> sets forth a true, correct and complete list of all material Spa Operating Permits held by the Company Group as of the date hereof. All material Spa Operating Permits are in full force and effect, and no member of the Company Group has received any written notice of revocation, suspension, limitation, or non-renewal of any Spa Operating Permit. No member of the Company Group is in material violation of any term or condition of any Spa Operating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Seller, all current employees and contractors of the Company Group who are required by applicable Law, airport authority regulations, or the terms of any concession agreement to hold airport security clearances, background check approvals, or similar authorizations in order to perform their duties at any airport location have obtained and currently maintain all such required clearances and approvals. To the Knowledge of the Seller, there are no pending or threatened revocations, suspensions, or denials of any such clearances or approvals with respect to such current employee or contractor of the Company Group that, individually or in the aggregate, would reasonably be expected to prevent the Company Group from maintaining adequate staffing levels at any airport location as a result of any failure to obtain or maintain such clearances or approvals.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caps w:val="false"/>
          <w:smallCaps w:val="false"/>
          <w:sz w:val="20"/>
        </w:rPr>
        <w:t>XpresTest Regulatory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applicable to such member’s operations, (i) is in compliance in all material respects with all applicable U.S. Food and Drug Administration (“FDA”) laws and regulations, including those relating to the use, distribution, and marketing of any diagnostic tests, devices, or related products; (ii) is in compliance in all material respects with all applicable federal and state healthcare fraud and abuse laws, including the federal False Claims Act (31 U.S.C. §§ 3729 et seq.); (iii) is in compliance in all material respects with all applicable state laws regulating genetic testing and protecting the privacy of genetic test results, including applicable breach notification requirements; and (iv) is in compliance in all material respects with all other applicable state and local laws and regulations that impose reporting or other compliance-related requirements on specimen collection stations. No member of the Company Group has received any written notice from any Governmental Authority of any material investigation, audit, enforcement action, or allegation of material non-compliance with any of the foregoing laws or regulations, and no such Action is pending or, to the Knowledge of the Seller, threatened in writing. The Company Group does not engage in treatment or diagnosis of any individual, does not operate a clinical laboratory, and the Business is not regulated by or subject to the Clinical Laboratory Improvement Amendments of 1988. The in vitro diagnostic product utilized by the Company in its specimen collection, distribution and related activities is cleared, approved or has received Emergency Use Authorization by the FDA, and is not manufactured by the Company Group. Each Member of the Company Group holds all licenses, permits, certifications, and approvals required by applicable federal and state law in connection with its specimen collection activities, and each such license, permit, certification and approval is in full force and effect. All specimen collection activities performed by the Company Group are performed in the United States.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government contract, subcontract, or grant pursuant to which any member of the Company Group has received or is entitled to receive funding for bio-surveillance monitoring or related activities (each, a “</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xml:space="preserve">”) has been disclosed in </w:t>
      </w:r>
      <w:r>
        <w:rPr>
          <w:rFonts w:ascii="Times New Roman;Times;Serif" w:hAnsi="Times New Roman;Times;Serif"/>
          <w:b w:val="false"/>
          <w:i w:val="false"/>
          <w:caps w:val="false"/>
          <w:smallCaps w:val="false"/>
          <w:sz w:val="20"/>
          <w:u w:val="single"/>
        </w:rPr>
        <w:t>Schedule 3.25(b)</w:t>
      </w:r>
      <w:r>
        <w:rPr>
          <w:rFonts w:ascii="Times New Roman;Times;Serif" w:hAnsi="Times New Roman;Times;Serif"/>
          <w:b w:val="false"/>
          <w:i w:val="false"/>
          <w:caps w:val="false"/>
          <w:smallCaps w:val="false"/>
          <w:sz w:val="20"/>
        </w:rPr>
        <w:t>. Each member of the Company Group is in compliance in all material respects with all applicable federal regulations (including, without limitation, the Federal Acquisition Regulation (48 C.F.R. Chapter 1) and any applicable agency-specific acquisition regulations (including the Health and Human Services Acquisition Regulation)), and the terms and conditions of each Government Contract, including all requirements relating to the conduct of bio-surveillance activities, data handling, reporting obligations, and performance standards. No member of the Company Group has received any written notice of actual or threatened termination for default, cure notice, show-cause notice, or suspension or debarment proceeding in connection with any Government Contract, and no such Action is pending or, to the Knowledge of the Seller, threatened in writing. No member of the Company Group has made any material false statement or material omission in connection with any Government Contract or any application therefor. To the extent any member of the Company Group performs under any Government Contract as a subcontractor, such member is in compliance in all material respects with all applicable flow-down obligations imposed by the prime contractor and by applicable federal procurement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i/>
          <w:caps w:val="false"/>
          <w:smallCaps w:val="false"/>
          <w:sz w:val="20"/>
        </w:rPr>
        <w:t>Products and Services Liability; Consumer Protection.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products used in the provision of services or offered for sale at any location operated by any member of the Company Group, including all cosmetics, skincare products, massage products, nail care products, products used in bio surveillance monitoring and diagnostic testing, and any ingredients or components thereof (collectively, the “</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comply in all material respects with all applicable product safety laws and regulations in each jurisdiction in which such Company Products are used or sold, including, without limitation, the Federal Food, Drug, and Cosmetic Act, applicable regulations of the U.S. Food and Drug Administration, and all analogous state, local, and foreign product safety laws and regulations. No member of the Company Group has received any written notice from any Governmental Authority of any recall, market withdrawal, safety alert, or enforcement action with respect to any Company Product, and no such Action is pending or, to the Knowledge of the Seller, threatened.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pending or, to the Knowledge of the Seller, threatened, product liability claims, Actions, or investigations against any member of the Company Group arising out of or relating to any Company Product or any service provided by the Company Group. All product liability claims that have been asserted in writing against any member of the Company Group within the past five (5) years have been disclosed on </w:t>
      </w:r>
      <w:r>
        <w:rPr>
          <w:rFonts w:ascii="Times New Roman;Times;Serif" w:hAnsi="Times New Roman;Times;Serif"/>
          <w:b w:val="false"/>
          <w:i w:val="false"/>
          <w:caps w:val="false"/>
          <w:smallCaps w:val="false"/>
          <w:sz w:val="20"/>
          <w:u w:val="single"/>
        </w:rPr>
        <w:t>Schedule 3.26(b)</w:t>
      </w:r>
      <w:r>
        <w:rPr>
          <w:rFonts w:ascii="Times New Roman;Times;Serif" w:hAnsi="Times New Roman;Times;Serif"/>
          <w:b w:val="false"/>
          <w:i w:val="false"/>
          <w:caps w:val="false"/>
          <w:smallCaps w:val="false"/>
          <w:sz w:val="20"/>
        </w:rPr>
        <w:t xml:space="preserve">, together with a description of the nature and current status of each such claim and any amounts paid or reserved in connection therewith. For the avoidance of doubt, “product liability claims” for purposes of this </w:t>
      </w:r>
      <w:r>
        <w:rPr>
          <w:rFonts w:ascii="Times New Roman;Times;Serif" w:hAnsi="Times New Roman;Times;Serif"/>
          <w:b w:val="false"/>
          <w:i w:val="false"/>
          <w:caps w:val="false"/>
          <w:smallCaps w:val="false"/>
          <w:sz w:val="20"/>
          <w:u w:val="single"/>
        </w:rPr>
        <w:t>Section 3.26(b)</w:t>
      </w:r>
      <w:r>
        <w:rPr>
          <w:rFonts w:ascii="Times New Roman;Times;Serif" w:hAnsi="Times New Roman;Times;Serif"/>
          <w:b w:val="false"/>
          <w:i w:val="false"/>
          <w:caps w:val="false"/>
          <w:smallCaps w:val="false"/>
          <w:sz w:val="20"/>
        </w:rPr>
        <w:t xml:space="preserve"> shall include, without limitation, any filed lawsuits, pre-suit or pre-litigation claims, consumer demand letters, attorney demand or notice letters, subpoenas, government demand letters (including Civil Investigative Demands and informal informational requests), and any settlement agreements, in each case, for the five (5) year period prior to the date of this Agreement. To the Knowledge of the Seller, there are no recurring or escalating patterns of consumer complaints, adverse customer reviews, or social media reports relating to any Company Product or any service provided by the Company Group that would reasonably be expected to result in product liability claims, class or collective proceedings, or enforcement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is in compliance in all material respects with all applicable truth-in-advertising, consumer protection, and unfair trade practices laws and regulations in each jurisdiction in which it operates, including, without limitation, the Federal Trade Commission Act and all analogous state, local, and foreign consumer protection laws and regulations. During the past six (6) years, no member of the Company Group has received any written notice from any Governmental Authority of any material investigation, enforcement action, or allegation of non-compliance with any such laws or regulations, and no such Action is pending or, to the Knowledge of the Seller, threatened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i/>
          <w:caps w:val="false"/>
          <w:smallCaps w:val="false"/>
          <w:sz w:val="20"/>
        </w:rPr>
        <w:t>Customer Waivers; Participant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sets forth true, correct and complete copies of each standard form of participant, membership, or service agreement containing a waiver or release of claims used or required to be used by any member of the Company Group in connection with the Business as currently conducted, including at each spa, waxing center, wellness, or personal care services location operated by any member of the Company Group (collectively, “</w:t>
      </w:r>
      <w:r>
        <w:rPr>
          <w:rFonts w:ascii="Times New Roman;Times;Serif" w:hAnsi="Times New Roman;Times;Serif"/>
          <w:b w:val="false"/>
          <w:i w:val="false"/>
          <w:caps w:val="false"/>
          <w:smallCaps w:val="false"/>
          <w:sz w:val="20"/>
          <w:u w:val="single"/>
        </w:rPr>
        <w:t>Participant Agreements</w:t>
      </w:r>
      <w:r>
        <w:rPr>
          <w:rFonts w:ascii="Times New Roman;Times;Serif" w:hAnsi="Times New Roman;Times;Serif"/>
          <w:b w:val="false"/>
          <w:i w:val="false"/>
          <w:caps w:val="false"/>
          <w:smallCaps w:val="false"/>
          <w:sz w:val="20"/>
        </w:rPr>
        <w:t xml:space="preserve">”). Each member of the Company Group has, at all times during the past three (3) years, required each customer (including the parent or legal guardian of any minor customer) to execute a Participant Agreement, in the applicable standard form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prior to receiving any services from such member of the Company Group.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separately identifies (i) each form of Participant Agreement used at each distinct business line or location type (including XpresSpa airport locations), (ii) each jurisdiction in which each such form is used, and (iii) the date each such form was first adopted. Except as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no member of the Company Group has deviated in any material respect from the applicable standard form of Participant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Participant Agreement is valid, binding, and enforceable against the applicable customer in accordance with its terms in all material respects, subject to the Enforceability Exceptions. The waivers and releases contained in the Participant Agreements have been presented to and executed by customers in compliance with all applicable Laws in all material respects, in each jurisdiction in which any member of the Company Group operates or has operated during the past three (3) years. No Participant Agreement has been presented to or executed by a customer in a manner that would render any waiver or release contained therein unenforceable, voidable, or of limited effect under applicable Law, including by reason of (i) inadequate disclosure, (ii) failure to obtain separate acknowledgment of any waiver or release provision, (iii) failure to obtain parental or guardian consent for minor customers, or (iv) non-compliance with applicable electronic signature or recordkeeping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member of the Company Group has received any written (nor to the Knowledge of the Seller, any oral) notice from any Governmental Authority, and there is no pending or, to the Knowledge of the Seller, threatened Action, asserting that any Participant Agreement or any provision thereof is invalid, unenforceable, misleading, or otherwise non-compliant with applicable Law. Each member of the Company Group has maintained and retained fully executed Participant Agreements (whether in paper or electronic form) for each customer who has received services from any member of the Company Group during the past three (3) years, in accordance with all applicable Laws and its standard document retention practices as set forth in the XWELL Data Retention and Disposal Standard (as amended from time to time). There are no material gaps or systemic failures in the collection, execution, storage, or retention of Participant Agreements at any location of the Company Group. To the Knowledge of Seller, each Participant Agreement retained in electronic form has been stored in a manner that preserves its legal integrity, authenticity, and accessibility for the retention period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of this Agreement nor the consummation of the transactions contemplated hereby will impair or limit the enforceability of any Participant Agreement against any customer of any member of the Company Group or give any customer the right to terminate, cancel, or obtain a refund under any Participant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i/>
          <w:caps w:val="false"/>
          <w:smallCaps w:val="false"/>
          <w:sz w:val="20"/>
        </w:rPr>
        <w:t>Gift Cards; Loyalty Programs; Memberships.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xml:space="preserve"> sets forth a true, correct, and complete description of each of the following programs operated, administered, sponsored, or honored by any member of the Company Group in connection with the Business (collectively, “</w:t>
      </w:r>
      <w:r>
        <w:rPr>
          <w:rFonts w:ascii="Times New Roman;Times;Serif" w:hAnsi="Times New Roman;Times;Serif"/>
          <w:b w:val="false"/>
          <w:i w:val="false"/>
          <w:caps w:val="false"/>
          <w:smallCaps w:val="false"/>
          <w:sz w:val="20"/>
          <w:u w:val="single"/>
        </w:rPr>
        <w:t>Customer Programs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gift card, gift certificate, stored-value card, e-gift, and similar prepaid customer credit program (“</w:t>
      </w:r>
      <w:r>
        <w:rPr>
          <w:rFonts w:ascii="Times New Roman;Times;Serif" w:hAnsi="Times New Roman;Times;Serif"/>
          <w:b w:val="false"/>
          <w:i w:val="false"/>
          <w:caps w:val="false"/>
          <w:smallCaps w:val="false"/>
          <w:sz w:val="20"/>
          <w:u w:val="single"/>
        </w:rPr>
        <w:t>Gift Card Programs</w:t>
      </w:r>
      <w:r>
        <w:rPr>
          <w:rFonts w:ascii="Times New Roman;Times;Serif" w:hAnsi="Times New Roman;Times;Serif"/>
          <w:b w:val="false"/>
          <w:i w:val="false"/>
          <w:caps w:val="false"/>
          <w:smallCaps w:val="false"/>
          <w:sz w:val="20"/>
        </w:rPr>
        <w:t>”), including (A) the aggregate outstanding face value of all unredeemed instruments as of a date no more than thirty (30) days prior to the date of this Agreement, (B) the breakage rate assumptions used by the Company Group in estimating the portion expected to remain unredeemed, (C) the escheat or unclaimed property treatment applied to such obligations in each jurisdiction in which the Company Group operates, and (D) the identity of any material third-party administrator or processor involved in the operation of any Gift Card Program;</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material loyalty, rewards, points, credits, referral, or similar customer program under which customers accumulate benefits redeemable for services, discounts, or other consideration (“</w:t>
      </w:r>
      <w:r>
        <w:rPr>
          <w:rFonts w:ascii="Times New Roman;Times;Serif" w:hAnsi="Times New Roman;Times;Serif"/>
          <w:b w:val="false"/>
          <w:i w:val="false"/>
          <w:caps w:val="false"/>
          <w:smallCaps w:val="false"/>
          <w:sz w:val="20"/>
          <w:u w:val="single"/>
        </w:rPr>
        <w:t>Loyalty Programs</w:t>
      </w:r>
      <w:r>
        <w:rPr>
          <w:rFonts w:ascii="Times New Roman;Times;Serif" w:hAnsi="Times New Roman;Times;Serif"/>
          <w:b w:val="false"/>
          <w:i w:val="false"/>
          <w:caps w:val="false"/>
          <w:smallCaps w:val="false"/>
          <w:sz w:val="20"/>
        </w:rPr>
        <w:t>”), including (A) a description of all outstanding unredeemed points, credits, or benefits as of a date no more than thirty (30) days prior to the date of this Agreement, (B) the estimated liability associated with such outstanding benefits, and (C) the identity of any material third-party administrator involved in the operation of any Loyalty Program;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material membership, subscription, prepaid service package, recurring access program, and similar arrangement under which customers pay in advance for future services (“</w:t>
      </w:r>
      <w:r>
        <w:rPr>
          <w:rFonts w:ascii="Times New Roman;Times;Serif" w:hAnsi="Times New Roman;Times;Serif"/>
          <w:b w:val="false"/>
          <w:i w:val="false"/>
          <w:caps w:val="false"/>
          <w:smallCaps w:val="false"/>
          <w:sz w:val="20"/>
          <w:u w:val="single"/>
        </w:rPr>
        <w:t>Membership Programs</w:t>
      </w:r>
      <w:r>
        <w:rPr>
          <w:rFonts w:ascii="Times New Roman;Times;Serif" w:hAnsi="Times New Roman;Times;Serif"/>
          <w:b w:val="false"/>
          <w:i w:val="false"/>
          <w:caps w:val="false"/>
          <w:smallCaps w:val="false"/>
          <w:sz w:val="20"/>
        </w:rPr>
        <w:t>”), including (A) the aggregate number of active enrolled members or subscribers as of a date no more than thirty (30) days prior to the date of this Agreement, (B) the aggregate amount of deferred or prepaid revenue outstanding as of such date, and (C) the identity of any material third-party administrator or payment processor involved in the operation of any Membership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obligations arising from Customer Programs are reflected as current liabilities on the Financial Statements and in the Net Working Capital calculation, in each case in accordance with GAAP consistently applied and the Accounting Principles. No member of the Company Group has, at any time within the three (3) years prior to the date of this Agreement, modified its breakage rate assumptions, revenue recognition methodology, liability recognition practices, or any other accounting treatment applicable to any Customer Program in a manner inconsistent with GAAP or past practice, except as required by a change in GAAP. The breakage rate assumptions disclosed in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with respect to each Gift Card Program: (i) are reasonable and have been determined in good faith; (ii) are consistent with the Company Group’s actual historical redemption data for the three (3) year period ending on the date of this Agreement; (iii) have not been modified in a manner that would reduce the liability associated with any Gift Card Program on the Financial Statements or in the Net Working Capital calculation, except as required by a change in GAAP or as supported by updated historical redemption data; and (iv) reflect all material changes in customer redemption behavior known to Seller or any member of the Company Group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Customer Program has been offered, sold, administered, marketed, and honored in all material respects in accordance with (i) its published terms and conditions; (ii) all applicable Laws, including consumer protection Laws, truth-in-advertising Laws, unfair or deceptive trade practice Laws, gift card and stored-value Laws (including all applicable escheat, unclaimed property, and dormancy Laws in each jurisdiction in which the Company Group operates or has operated), and all Laws governing automatic renewal, negative option, and subscription programs; and (iii) the applicable data privacy and security requirements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this Agreement. No member of the Company Group has failed to remit any amounts required to be remitted under applicable escheat or unclaimed property Laws in connection with any Customer Program. </w:t>
      </w:r>
      <w:r>
        <w:rPr>
          <w:rFonts w:ascii="Times New Roman;Times;Serif" w:hAnsi="Times New Roman;Times;Serif"/>
          <w:b w:val="false"/>
          <w:i w:val="false"/>
          <w:caps w:val="false"/>
          <w:smallCaps w:val="false"/>
          <w:sz w:val="20"/>
          <w:u w:val="single"/>
        </w:rPr>
        <w:t>Schedule 3.28(c)</w:t>
      </w:r>
      <w:r>
        <w:rPr>
          <w:rFonts w:ascii="Times New Roman;Times;Serif" w:hAnsi="Times New Roman;Times;Serif"/>
          <w:b w:val="false"/>
          <w:i w:val="false"/>
          <w:caps w:val="false"/>
          <w:smallCaps w:val="false"/>
          <w:sz w:val="20"/>
        </w:rPr>
        <w:t xml:space="preserve"> sets forth a true, correct, and complete list of (A) each jurisdiction in which any member of the Company Group is subject to escheat or unclaimed property obligations in respect of any Customer Program, (B) the most recent period for which escheat filings were made in each such jurisdiction, (C) any known or reasonably anticipated shortfalls in escheat remittances, and (D) any pending or threatened audit, inquiry, or enforcement action by any Governmental Authority with respect to escheat or unclaimed property obligations of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Schedule 3.28(d)</w:t>
      </w:r>
      <w:r>
        <w:rPr>
          <w:rFonts w:ascii="Times New Roman;Times;Serif" w:hAnsi="Times New Roman;Times;Serif"/>
          <w:b w:val="false"/>
          <w:i w:val="false"/>
          <w:caps w:val="false"/>
          <w:smallCaps w:val="false"/>
          <w:sz w:val="20"/>
        </w:rPr>
        <w:t>, no member of the Company Group has, at any time within the twelve (12) months prior to the date of this Agreement (i) modified the terms of any Gift Card Program in any material respect, including any change to face value, expiration policies, inactivity fees, service charges, redemption restrictions, or the identity of any material third-party administrator, (ii) devalued, reduced, restricted, or otherwise adversely modified, in any material respect, the redemption rights, accrual rates, or expiration terms of any points, credits, or rewards under any Loyalty Program, or (iii) modified the terms of any Membership Program in any material respect, including any material change to pricing, service inclusions, auto-renewal terms, cancellation rights, refund policies, service credits, or the identity of any third-party administrator or payment processor.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is no pending or to the Knowledge of the Seller, threatened (i) material Action, class or collective proceeding, or consumer arbitration relating to any Customer Program or the administration, marketing, disclosure, renewal, or cancellation thereof, or (ii) material investigation, audit, inquiry, subpoena, civil investigative demand, or enforcement action by any Governmental Authority relating to the administration, marketing, disclosure, renewal, cancellation, or escheat treatment of any Customer Program. During the past three (3) years, no member of the Company Group has received any written notice from any Governmental Authority indicating that any Customer Program or the administration thereof is non-compliant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in </w:t>
      </w:r>
      <w:r>
        <w:rPr>
          <w:rFonts w:ascii="Times New Roman;Times;Serif" w:hAnsi="Times New Roman;Times;Serif"/>
          <w:b w:val="false"/>
          <w:i w:val="false"/>
          <w:caps w:val="false"/>
          <w:smallCaps w:val="false"/>
          <w:sz w:val="20"/>
          <w:u w:val="single"/>
        </w:rPr>
        <w:t>Schedule 3.28(f)</w:t>
      </w:r>
      <w:r>
        <w:rPr>
          <w:rFonts w:ascii="Times New Roman;Times;Serif" w:hAnsi="Times New Roman;Times;Serif"/>
          <w:b w:val="false"/>
          <w:i w:val="false"/>
          <w:caps w:val="false"/>
          <w:smallCaps w:val="false"/>
          <w:sz w:val="20"/>
        </w:rPr>
        <w:t>, no member of the Company Group has, within the twelve (12) months prior to the date of this Agreement, or, during the period from the date of this Agreement through the Closing, taken or will take any action to accelerate, wind down, discontinue, or otherwise terminate any Customer Program, or taken or will take any action that has had or would reasonably be expected to have the effect of materially (i) reducing the aggregate number of active members, subscribers, or participants in any Customer Program, (ii) increasing the redemption rate of any Gift Card Program above historical norms, (iii) reducing the outstanding deferred revenue or other liabilities of the Company Group associated with any Customer Program, or (iv) issuing, selling, or distributing gift cards, gift certificates, or stored-value instruments at a discount to face value or in promotional quantities materially in excess of historical norms, in each case other than as a result of normal customer attrition in the ordinary course of business consistent with past practice, and in each case, without the prior written consent of Buyer (not to be unreasonably withheld, conditioned, or delayed) with respect to any such action taken during the period from the date of this Agreement through the Closing.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i/>
          <w:caps w:val="false"/>
          <w:smallCaps w:val="false"/>
          <w:sz w:val="20"/>
        </w:rPr>
        <w:t>Bank Accounts.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3.29</w:t>
      </w:r>
      <w:r>
        <w:rPr>
          <w:rFonts w:ascii="Times New Roman;Times;Serif" w:hAnsi="Times New Roman;Times;Serif"/>
          <w:b w:val="false"/>
          <w:i w:val="false"/>
          <w:caps w:val="false"/>
          <w:smallCaps w:val="false"/>
          <w:sz w:val="20"/>
        </w:rPr>
        <w:t xml:space="preserve"> sets forth a true, correct and complete list of (a) the name and address of each bank with which any member of the Company Group has an account or safe deposit box, (b) the name of each Person authorized to draw thereon or have access thereto, (c) the names of each Person holding a power of attorney from such member of the Company Group, and (d) the account number for each bank account of each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i/>
          <w:caps w:val="false"/>
          <w:smallCaps w:val="false"/>
          <w:sz w:val="20"/>
        </w:rPr>
        <w:t>Spa Products Import &amp; Distribution Co.,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Products Import &amp; Distribution Co., LLC (“</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is a holding company and does not engage in any business, trade or commercial activity of any kind (other than certain payroll processing activities for employees of Seller and its Subsidiaries (including the Company Group)). Spa LLC (i) does not own, hold, lease or have any interest in any assets or properties of any nature (whether tangible or intangible, real or personal), other than (x) Cash and Cash Equivalents, and (y) immaterial assets typical of a holding company, (ii) has no Liabilities or obligations of any kind (whether accrued, contingent, absolute, determined, determinable or otherwise), (iii) has not entered into any contracts, commitments, arrangements or undertakings with any Person, and (iv) has no employees, contractors or other individual service providers.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SET FORTH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w:t>
      </w:r>
      <w:r>
        <w:rPr>
          <w:rFonts w:ascii="Times New Roman;Times;Serif" w:hAnsi="Times New Roman;Times;Serif"/>
          <w:b w:val="false"/>
          <w:i w:val="false"/>
          <w:caps w:val="false"/>
          <w:smallCaps w:val="false"/>
          <w:sz w:val="20"/>
        </w:rPr>
        <w:t xml:space="preserve">IN CONNECTION WITH THE TRANSACTIONS CONTEMPLATED HEREBY </w:t>
      </w:r>
      <w:r>
        <w:rPr>
          <w:rFonts w:ascii="Times New Roman;Times;Serif" w:hAnsi="Times New Roman;Times;Serif"/>
          <w:b w:val="false"/>
          <w:i w:val="false"/>
          <w:caps/>
          <w:sz w:val="20"/>
        </w:rPr>
        <w:t>OR THEREBY), (I) NONE OF THE COMPANIES, SELLER NOR ANY OF THEIR RESPECTIVE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BUYER ACKNOWLEDGES AND AGREES THAT (A) IT IS NOT RELYING ON ANY STATEMENT OR REPRESENTATION MADE BY THE COMPANIES, SELLER OR ANY OF THEIR RESPECTIVE AFFILIATES EXCEPT AS SPECIFICALLY SET FORTH IN THIS AGREEMENT (AS </w:t>
      </w:r>
      <w:r>
        <w:rPr>
          <w:rFonts w:ascii="Times New Roman;Times;Serif" w:hAnsi="Times New Roman;Times;Serif"/>
          <w:b w:val="false"/>
          <w:i w:val="false"/>
          <w:caps w:val="false"/>
          <w:smallCaps w:val="false"/>
          <w:sz w:val="20"/>
        </w:rPr>
        <w:t xml:space="preserve">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IN ANY OTHER TRANSACTION DOCUMENT OR IN ANY CERTIFICATE DELIVERED TO BUYER AT CLOSING</w:t>
      </w:r>
      <w:r>
        <w:rPr>
          <w:rFonts w:ascii="Times New Roman;Times;Serif" w:hAnsi="Times New Roman;Times;Serif"/>
          <w:b w:val="false"/>
          <w:i w:val="false"/>
          <w:caps/>
          <w:sz w:val="20"/>
        </w:rPr>
        <w:t xml:space="preserve">,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CASE OF ACTUAL SELLER FRAUD) NOR ANY OF THEIR RESPECTIVE AFFILIATES NOR ANY OTHER 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w:t>
      </w:r>
      <w:r>
        <w:rPr>
          <w:rFonts w:ascii="Times New Roman;Times;Serif" w:hAnsi="Times New Roman;Times;Serif"/>
          <w:b w:val="false"/>
          <w:i w:val="false"/>
          <w:caps w:val="false"/>
          <w:smallCaps w:val="false"/>
          <w:sz w:val="20"/>
        </w:rPr>
        <w:t>THE CIM OR MANAGEMENT PRESENTATIONS) NOT EXPRESSLY SET FORTH IN THIS AGREEMENT, ANY OTHER TRANSACTION DOCUMENT OR ANY CERTIFICATE DELIVERED TO BUYER AT CLOSING</w:t>
      </w:r>
      <w:r>
        <w:rPr>
          <w:rFonts w:ascii="Times New Roman;Times;Serif" w:hAnsi="Times New Roman;Times;Serif"/>
          <w:b w:val="false"/>
          <w:i w:val="false"/>
          <w:caps/>
          <w:sz w:val="20"/>
        </w:rPr>
        <w:t xml:space="preserve">,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br/>
        <w:t>REPRESENTATIONS AND WARRANTIES REGARDING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hereby represents and warrants to Buyer,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caps w:val="false"/>
          <w:smallCaps w:val="false"/>
          <w:sz w:val="20"/>
        </w:rPr>
        <w:t>Authority and Enforceability.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a corporation duly organized, validly existing, and in good standing under the Laws of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all requisite corporate power and authority to execute, deliver and perform this Agreement and the other Transaction Documents to which Seller is, or will be, a party and to consummate the transactions contemplated hereby and thereby, subject to receipt of Stockholder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by Seller of this Agreement and the other Transaction Documents to which Seller is, or will be, a party, and the consummation by Seller of the transactions contemplated hereby and thereby, have been duly authorized by all necessary corporate action on behalf of Seller, except that no other corporate action or approval on the part of Seller or the stockholders of Seller is necessary to authorize this Agreement or the other Transaction Documents or to consummate the transactions contemplated hereby or thereby, except the Stockholder Approval. This Agreement and the other Transaction Documents to which Seller is a party have been or will be duly and validly executed and delivered by Seller, and, assuming due authorization, execution and delivery by Buyer and the other parties hereto and thereto, constitute or will constitute the valid and binding obligations of Seller enforceable against Seller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affirmative vote of the holders of a majority of the outstanding shares of Seller’s common stock entitled to vote to approve the transactions contemplated by this Agreement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is the only vote or consent of the holders of any class or series of Seller’s capital stock that is necessary in connection with the consummation of the transactions contemplated by this Agreement, and no other corporate or stockholder proceedings are necessary to approve this Agreement or to consummate the transactions contemplated hereby. Prior to the execution of this Agreement, at a meeting duly called and held, the board of directors of Seller duly, validly and adopted resolutions (i) approving and declaring advisable this Agreement and the transactions contemplated hereby on the terms and subject to the conditions set forth herein, (ii) declaring and determining that it is in the best interests of the stockholders of Seller that Seller enter into this Agreement and consummate the transactions contemplated hereby on the terms and subject to the conditions set forth herein, (iii) directing that this Agreement be submitted to a vote at a meeting of the stockholders of Seller for approval and adoption, and (iv) recommending that the stockholders of Seller approve and adopt this Agreement (clauses (i), (ii), (iii) and (iv) being collectively referred to herein as the “</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which resolutions, as of the date of this Agreement, have not been rescinded, modified or withdrawn in any way.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of this Agreement by Seller and the other Transaction Documents to which Seller is a party do not violate or conflict with (i) any corporate document of Seller (as applicable), (ii) any Laws or Order, of any Governmental Authority against or otherwise binding upon Seller, except, in the case of clause (ii), as would not reasonably be expected to be material to Seller’s ability to consummate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is not subject to any pending winding up application, including both solvent and insolvent winding up, that has been made to a court or other competent public authority or is in the process of being wound up and, no such proceeding has been threatened in writing against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caps w:val="false"/>
          <w:smallCaps w:val="false"/>
          <w:sz w:val="20"/>
        </w:rPr>
        <w:t>Title.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the sole record owner of the Purchased Equity, free and clear of all Liens, except for (i) Liens arising under applicable securities Laws, (ii) any restrictions on the transfer of such securities arising under the Companies’ organizational documents, and (iii) Liens arising under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caps w:val="false"/>
          <w:smallCaps w:val="false"/>
          <w:sz w:val="20"/>
        </w:rPr>
        <w:t>No Consents.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the execution, delivery and performance by Seller of this Agreement and any other Transaction Document to be executed by Seller in connection herewith, and the consummation by Seller of the Sale and the other transactions contemplated hereby will not, with or without the giving of notice or the lapse of time, or both, (i) violate any provision of Seller’s (or any member of the Company Group’s) organizational documents, (ii) violate any provision of Law, rule, or regulation to which Seller is subject, (iii) violate any Order applicable to Seller or the Company Group; or (iv) violate, result in a breach of or constitute a default (or an event which might, with the passage of time or the giving of notice, or both, constitute a default) or give rise to rights of payment, acceleration, termination, or cancellation, or a loss of rights under, or require the consent of any third party that has not been obtained under, any Material Contract to which Seller or any member of the Company Group is a party or by which it may be bound, except, in cases of clauses (ii), (iii), and (iv) above, for violations, breaches, events, or defaults that in the aggregate would not reasonably be expected to materially delay or hinder or impair the consummation of the transactions contemplated hereby. Except (A)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(B) for the filing with the SEC of the preliminary proxy statement, the Proxy Statement and any related filings under Section 14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(C) the Stockholder Approval, and (D) filings, permits, clearances, authorizations, consents, orders and approvals as may be required pursuant to the rules and regulations of the Nasdaq, the execution and delivery of the Transaction Documents by Seller does not, and the performance of the Transaction Documents by Seller and the consummation of the transactions contemplated hereby and thereby will not, require Seller to obtain any consent, permit or order of, make any filing with or notification to, or procure other action by, any Person based on any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or threatened in writing (or, to the Knowledge of the Seller, orally) against Seller or to which Seller’s assets are bound that (a) challenges or seeks to enjoin, delay or obtain damages in respect of this Agreement, the Sale or the transactions contemplated hereby or (b) would reasonably be expected to materially adversely affect Seller’s ability to perform its obligations under this Agreement or the other Transaction Documents or to consummate the Sale or the transactions contemplated hereby and thereby. Seller is not subject to any Order which would reasonably be expected to have a material adverse effect on the ability of Seller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4.5</w:t>
      </w:r>
      <w:r>
        <w:rPr>
          <w:rFonts w:ascii="Times New Roman;Times;Serif" w:hAnsi="Times New Roman;Times;Serif"/>
          <w:b w:val="false"/>
          <w:i w:val="false"/>
          <w:caps w:val="false"/>
          <w:smallCaps w:val="false"/>
          <w:sz w:val="20"/>
        </w:rPr>
        <w:t>, neither Seller nor any of Seller Affiliates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Seller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caps w:val="false"/>
          <w:smallCaps w:val="false"/>
          <w:sz w:val="20"/>
        </w:rPr>
        <w:t>Investigation.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acknowledges that, except for the representations and warranties regarding the Buyer or its Affiliates in this Agreement or any other Transaction Document or in any certificate delivered to Seller pursuant to this Agreement or any other Transaction Document, Seller has not relied on any representation or warranty from Buyer or any of its Affiliates in determining to enter into or consummate the transactions contemplated by this Agreement, and is relying on its or his own investigation and analysis in entering into the transactions contemplated hereby and by the other Transaction Documents. Seller is a sophisticated party, represented by independent legal counsel and investment advisors with experience in the acquisition and valuation of ongoing businesses. None of Buyer or any of its Affiliates shall have any Liability to Seller or any other Person (except in case of Actual Buyer Fraud) with respect to any projections, forecasts, estimates, plans or budgets of future revenue, expenses or expenditures, future results of operations, future cash flows or the future financial condition of Buyer or any of its Affiliates or the future business, operations or affairs of Buyer or any of its Affiliates, in each case, unless otherwise expressly set forth in this Agreement or any other Transaction Document or in any certificate delivered to Seller pursuant to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OR IN ANY OTHER TRANSACTION DOCUMENT OR IN ANY CERTIFICATE DELIVERED TO SELLER PURSUANT TO THIS AGREEMENT OR ANY OTHER TRANSACTION DOCUMENT (WHICH ARE THE EXCLUSIVE REPRESENTATIONS AND WARRANTIES MADE WITH RESPECT TO BUYER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(I) NEITHER BUYER NOR ANY OF ITS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ACKNOWLEDGES AND AGREES THAT (A) SELLER IS NOT RELYING ON ANY STATEMENT OR REPRESENTATION MADE BY BUYER OR ANY OF ITS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SELLER AT CLOSING, AND NO PERSON HAS BEEN AUTHORIZED BY BUYER TO MAKE ANY REPRESENTATION OR WARRANTY RELATING TO BUYER OR ANY OF ITS AFFILIATES OR THE BUSINESSES OF BUYER OR ITS AFFILIATES EXCEPT AS SO SET FORTH, AND, IF MADE, ANY SUCH REPRESENTATION OR WARRANTY MUST NOT BE RELIED UPON, (B) NEITHER BUYER (EXCEPT IN THE CASE OF ACTUAL BUYER FRAUD) NOR ANY OF ITS AFFILIATES NOR ANY OTHER PERSON WILL HAVE OR BE SUBJECT TO ANY LIABILITY TO THE COMPANY GROUP OR SELLER RESULTING FROM THE DISTRIBUTION TO THE COMPANY GROUP OR SELLER OR THEIR RESPECTIVE REPRESENTATIVES, OR THEIR USE, OF ANY INFORMATION REGARDING BUYER OR ANY OF ITS AFFILIATES OR THEIR RESPECTIVE BUSINESSES (INCLUDING ANY PROJECTIONS, ESTIMATES, FINANCIAL INFORMATION OR OTHER INFORMATION PROVIDED BY OR ON BEHALF OF BUYER RELATING TO THE TRANSACTIONS CONTEMPLATED HEREBY) NOT EXPRESSLY SET FORTH IN THIS AGREEMENT, ANY OTHER TRANSACTION DOCUMENT OR ANY CERTIFICATE DELIVERED TO SELLER AT CLOSING, AND (C) ANY ESTIMATES, PROJECTIONS, PREDICTIONS, DATA, FINANCIAL INFORMATION, MEMORANDA, PRESENTATIONS OR OTHER MATERIALS OR INFORMATION PROVIDED OR ADDRESSED TO SELLER ARE NOT AND SHALL NOT BE DEEMED TO BE OR INCLUDE REPRESENTATIONS OR WARRANTIES REGARDING BUYER OR ANY OF ITS AFFILIATES,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br/>
        <w:t>REPRESENTATIONS AND WARRANTIES OF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the Companies and Seller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caps w:val="false"/>
          <w:smallCaps w:val="false"/>
          <w:sz w:val="20"/>
        </w:rPr>
        <w:t>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a Delaware limited liability company duly organized, validly existing, and in good standing under the Laws of the jurisdiction of its formation, and has all requisite corporate power and authority to carry on its business as it is now being conducted, and to execute, deliver, and perform this Agreement and the other Transaction Documents to which it is a party and to consummate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caps w:val="false"/>
          <w:smallCaps w:val="false"/>
          <w:sz w:val="20"/>
        </w:rPr>
        <w:t>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has all requisite entity power and authority to execute, deliver and perform this Agreement and the other Transaction Documents to which Buyer is a party and to consummate the transactions contemplated hereby and thereby. The execution, delivery and performance by Buyer of this Agreement and the other Transaction Documents to be executed by Buyer in connection herewith, and the consummation by Buyer of the transactions contemplated hereby and thereby, have been (or will be as of the Closing) duly authorized by all necessary corporate action on behalf of Buyer. This Agreement and the other Transaction Documents to which Buyer is a party have been or will be duly and validly executed and delivered by Buyer and, assuming due authorization, execution and delivery by the other parties hereto and thereto, constitute or will constitute the valid and binding obligations of Buyer, enforceable against such Persons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Buyer of this Agreement and any other Transaction Document to be executed by Buyer in connection herewith, and the consummation by Buyer of the Sale and the other transactions contemplated hereby will not, with or without the giving of notice or the lapse of time, or both, (i) violate any provision of Buyer’s organizational documents, (ii) violate any provision of Law, rule, or regulation to which Buyer is subject, (iii) violate any Order applicable to Buyer, or (iv) result in a breach of or constitute a default under, or give rise to any right of termination, cancellation or acceleration under, or require any consent under, any material contract, agreement or instrument to which Buyer is a party or by which it may be bound; except, in the case of clauses (ii), (iii), and (iv) above, for violations, breaches, events, or defaults that in the aggregate would not reasonably be expected to materially delay or hinder or impair the consummation of the transactions contemplated hereby or Buyer’s ability to perform its obligations hereunder.</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that (a) challenges or seeks to enjoin, delay or obtain damages in respect of this Agreement, the Sale or the transactions contemplated hereby or (b) would reasonably be expected to adversely affect Buyer’s ability to perform its obligations under this Agreement or the other Transaction Documents or to consummate the Sale or the transactions contemplated hereby and thereby. Buyer is not subject to any Order which would have an adverse effect on the ability of Buyer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caps w:val="false"/>
          <w:smallCaps w:val="false"/>
          <w:sz w:val="20"/>
        </w:rPr>
        <w:t>Financial 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represents that, subject to funding of anticipated debt financing and equity capital contributed to Buyer, Buyer shall have at the Closing the financial capability and sufficient unrestricted funds available necessary to consummate the transactions contemplated by this Agreement (including the Sale) on the terms and subject to the conditions set forth herein. For the avoidance of doubt, the foregoing is not a representation that Buyer has obtained, or is obligated to obtain any Equity Commitment Letter or a Debt Commitment Letter as of the date of this Agreement or prior to Closing, and the failure to obtain an Equity Commitment Letter or a Debt Commitment Letter shall not, in and of itself, constitute a breach of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or a failure of any condition to Closing; provided that Buyer is communicating in good faith with potential financing sources to enter into definitive loan agreements or equity financing documents in accordance with Section 6.6(d). Buyer acknowledges and agrees that, regardless of whether an Equity Commitment Letter or a Debt Commitment Letter is obtained, Buyer’s obligation to consummate the Closing (subject solely to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is absolute and unconditional, and the obligations of Buyer under this Agreement are not contingent upon or subject to any conditions regarding Buyer’s, or its Affiliates’ or any other Person’s ability to obtain financing for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no debt commitment letter (a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has been executed among Buyer and any Debt Financing Source pursuant to which any Debt Financing Source has committed to fund (directly or indirectly) a debt commitment for purposes of funding a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no equity commitment letter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between Guarantor (or any other Affiliate of Buyer or Guarantor) and Buyer, has been obtained pursuant to which Guarantor or any other Affiliate of Buyer or Guarantor has committed to contribute or cause to be contributed to Buyer (directly or indirectly) an equity commitment for the purpose of funding any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Buyer understands and acknowledges that receipt by, or availability of funds or financing to, Buyer or its Affiliates shall not be a condition to Buyer’s obligations hereunder and Buyer’s obligations set forth herein are not contingent or conditioned upon any Person’s ability to obtain or have at the Closing sufficient funds necessary for Buyer to perform its obligations with respect to the transactions contemplated hereby. For the avoidance of doubt,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not create any independent cause of action or basis for Liability against Buyer beyond Buyer’s obligation to consummate the Closing in accordance with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the remedies expressly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Concurrently with the execution of this Agreement, Buyer has delivered to Seller a true, correct and complete copy of the Guaranty, duly executed by Guarantor in favor of Seller. The Guaranty is in full force and effect and constitutes a legal, valid and binding obligation of Guarantor, enforceable against Guarantor in accordance with its terms, except as such enforceability may be limited by the Enforceability Exceptions. To the knowledge of Buyer, no event has occurred that, with notice or lapse of time or both, would, or would reasonably be expected to, constitute a default or breach or failure to satisfy a condition on the part of Guarantor under the Guaranty.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Buyer nor any of its Affiliates has retained any broker, finder, investment banking firm or financial advisor to act on its behalf in connection with the transactions contemplated by this Agreement in a manner that would impose any Liability upon Seller or, if the Closing is not consummated, the Company Group, and no other Person is or will be entitled to receive any broker’s, finder’s, investment banker’s, financial adviser’s or similar fee from Seller or, if the Closing is not consummated, the Company Group in connection with this Agreement or any of the transactions contemplated hereby based upon arrangements made by or on behalf of Buyer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xml:space="preserve">), (I) NONE OF THE COMPANIES, SELLER NOR ANY OF THEIR RESPECTIVE AFFILIATES MAKES ANY EXPRESS OR IMPLIED REPRESENTATION OR WARRANTY OF ANY KIND OR NATURE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AND (II) ALL OTHER WARRANTIES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ACKNOWLEDGES AND AGREES THAT (A) IT IS NOT RELYING ON ANY STATEMENT OR REPRESENTATION MADE BY THE COMPANIES, SELLER OR ANY OF THEIR RESPECTIVE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AT CLOSING,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w:t>
      </w:r>
      <w:r>
        <w:rPr>
          <w:rFonts w:ascii="Times New Roman;Times;Serif" w:hAnsi="Times New Roman;Times;Serif"/>
          <w:b w:val="false"/>
          <w:i w:val="false"/>
          <w:caps/>
          <w:sz w:val="20"/>
        </w:rPr>
        <w:t xml:space="preserve">CASE OF ACTUAL SELLER FRAUD) NOR ANY OF THEIR RESPECTIVE AFFILIATES NOR ANY OTHER </w:t>
      </w:r>
      <w:r>
        <w:rPr>
          <w:rFonts w:ascii="Times New Roman;Times;Serif" w:hAnsi="Times New Roman;Times;Serif"/>
          <w:b w:val="false"/>
          <w:i w:val="false"/>
          <w:caps w:val="false"/>
          <w:smallCaps w:val="false"/>
          <w:sz w:val="20"/>
        </w:rPr>
        <w:t xml:space="preserve">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THE CIM OR MANAGEMENT PRESENTATIONS) NOT EXPRESSLY SET FORTH IN THIS AGREEMENT, ANY OTHER TRANSACTION DOCUMENT OR ANY CERTIFICATE DELIVERED TO BUYER AT CLOSING,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The Buyer and its Affiliates and representatives have HAD AN OPPORTUNITY TO REVIEW books, records (including Tax Returns and other tax records), contracts, facilities, properties, and assets of the Companies and the other members of the Company Group that the Buyer and its Affiliates and representatives have requested to see or review, and the Buyer and its Affiliates and representatives have had a opportunity to meet with officers, knowledgeable employees and other representatives of the Companies and the other members of the Company Group that the Buyer and its Affiliates and representatives have requested in order to discuss the respective businesses of the Companies and the other members of the Company Group. The Buyer confirms that it and its representatives have made an independent investigation, analysis and evaluation of the Companies, the other members of the Company Group and their respective businesses; PROVIDED, HOWEVER, THAT SUCH INVESTIGATION SHALL NOT LIMIT, WAIVE, MODIFY OR AFFECT (I) THE REPRESENTATIONS AND WARRANTIES OF SELLER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(II) BUYER’S RIGHTS TO INDEMNIFICATION PURSUANT TO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 xml:space="preserve"> OR ANY OTHER RIGHTS OR REMEDIES OF BUYER UNDER THIS AGREEMENT OR ANY OTHER TRANSACTION DOCUMENT, OR (III) BUYER’S ABILITY TO BRING A CLAIM FOR ACTUAL FRAUD.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None of Seller, the Companies, any other member of the Company Group, any Affiliate of any of the foregoing, or any representative of any of the foregoing, including Counsel (collectively, the “</w:t>
      </w:r>
      <w:r>
        <w:rPr>
          <w:rFonts w:ascii="Times New Roman;Times;Serif" w:hAnsi="Times New Roman;Times;Serif"/>
          <w:b w:val="false"/>
          <w:i w:val="false"/>
          <w:caps/>
          <w:sz w:val="20"/>
          <w:u w:val="single"/>
        </w:rPr>
        <w:t>Covered Persons</w:t>
      </w:r>
      <w:r>
        <w:rPr>
          <w:rFonts w:ascii="Times New Roman;Times;Serif" w:hAnsi="Times New Roman;Times;Serif"/>
          <w:b w:val="false"/>
          <w:i w:val="false"/>
          <w:caps/>
          <w:sz w:val="20"/>
        </w:rPr>
        <w:t xml:space="preserve">”) has acted as a fiduciary or financial or investment adviser to Buyer. The Buyer has consulted with its own legal, regulatory, tax, business, investment, financial, accounting, and other advisers to the extent that it has deemed necessary, and the Buyer has made its own decisions with respect to entering into this Agreement based upon its own judgment and upon any advice from such advisers it has deemed necessary and not upon any view expressed by Seller, the Companies or any other member of the Company Group. The Buyer is a sophisticated entity familiar with transactions similar to those contemplated by this Agreement and any Transaction Document, and the Buyer is entering into or delivering this Agreement and each Transaction Document with a full understanding of all the terms, conditions and risks hereof and thereof (economic and otherwise), and it is capable of and willing to assume (financially and otherwise) those risks. The Buyer acknowledges and agrees that, except to the extent specifically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OR IN THE TRANSACTION DOCUMENTS, the Buyer is acquiring the Purchased Equity, and is thereby acquiring the assets of the Companies and the other members of the Company Group, without any representation or warranty as to merchantability or fitness for any particular purpose, in an “as is” condition and on a “where is” basis; provided that nothing in this </w:t>
      </w:r>
      <w:r>
        <w:rPr>
          <w:rFonts w:ascii="Times New Roman;Times;Serif" w:hAnsi="Times New Roman;Times;Serif"/>
          <w:b w:val="false"/>
          <w:i w:val="false"/>
          <w:caps/>
          <w:sz w:val="20"/>
          <w:u w:val="single"/>
        </w:rPr>
        <w:t>Section 5.6</w:t>
      </w:r>
      <w:r>
        <w:rPr>
          <w:rFonts w:ascii="Times New Roman;Times;Serif" w:hAnsi="Times New Roman;Times;Serif"/>
          <w:b w:val="false"/>
          <w:i w:val="false"/>
          <w:caps/>
          <w:sz w:val="20"/>
        </w:rPr>
        <w:t xml:space="preserve"> shall limit the ability to make a claim for Actual SELLER Fraud in accordance with the provisions and subject to the limitations of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contained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any other Transaction Document or in any certificate delivered to seller pursuant to this Agreement or any other Transaction Document (which are the exclusive representations and warranties made with respect to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buyer has not made and does not makes any other express or implied representation or warranty, either written or oral, with respect to buyer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including, but not limited to, (a) any representation or warranty as to the accuracy or completeness of any information regarding buyer or its affiliates furnished or made available to seller or its representatives, (b) any representation or warranty as to synergies arising by virtue of the transaction, estimates or projections of future revenue, forecasts or plans, profitability or success of buyer or its affiliates, or (c) any representation or warranty arising from statute or otherwise in law with respect to buyer or its affiliates. No material or information provided by or communications made by buyer or its affiliates, or by an advisor thereof, whether by use of a “data room,” or in any information memorandum, or otherwise, or by any broker or investment banker, will cause or create any warranty, express or implied, as to or in respect of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AND THEREBY, in each case, except as otherwise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or any other Transaction Document or in any certificate delivered to seller pursuant to this Agreement or any other Transaction Document. </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br/>
        <w:t>COVENANTS AND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caps w:val="false"/>
          <w:smallCaps w:val="false"/>
          <w:sz w:val="20"/>
        </w:rPr>
        <w:t>Efforts to Consummate; Further Assurances.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 provided, except as otherwise provided in this Agreement, each of the parties hereto agrees to use its reasonable best efforts to, and shall cause its respective Affiliates to, take or cause to be taken all actions, to do or cause to be done and to assist and cooperate with the other parties hereto in doing all things necessary, proper or advisable under applicable Laws to consummate and make effective, in the most expeditious manner practicable, the transactions contemplated by this Agreement, including: (i) the satisfaction of the conditions precedent to the obligations of such party (which, for the avoidance of doubt, shall not require either of Seller or Buyer to waive any conditions precedent to such party’s obligation to consummate the transactions contemplated by this Agreement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(ii) the obtaining of applicable consents, waivers, actions, non-actions, or other authorizations or approvals of any third parties (including Governmental Authorities) and the satisfying or waiving any conditions set forth in or established by any such consents, clearances, approvals, waivers, actions, or non-actions or other authorizations from Governmental Authorities; and (iii) the taking of such other actions as the other parties hereto may reasonably request in order to carry out the intent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hereto shall cooperate reasonably with each other and with their respective representatives in connection with any steps required to be taken as part of their respective obligations under the Transaction Documents to which they are a party, and shall (i) furnish upon request to each other such further information, (ii) execute and deliver to each other such other documents, and (iii) take such other actions, all as the other parties may reasonably request for the purpose of carrying out the intent of this Agreement and the Transaction Documents to which they are a party and the transactions contemplated hereby and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shall not (A) apply to direct claims against the parties (for which the general rules of discovery shall apply), and (B) require either party to provide to the other parties any documentation or information (x) that is commercially sensitive or subject to any privilege, (y) with respect to which such party is bound by confidentiality obligations, or (z) the provision of which is restricted by applicable Law.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Seller and the Company Group, on one hand, and Buyer, on the other hand, shall each promptly notify the other of any event or fact coming to such party’s attention prior to the Closing that would reasonably be expected to result in the failure to satisfy any of such party’s conditions precedent specified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Seller shall, and shall cause the Company Group to, use reasonable best efforts to obtain each Required Lease Consent as promptly as practicable following the date hereof, and in any event prior to the Closing Date. In furtherance of the foregoing, Seller shall: (i) promptly following the date hereof (and in any event within ten (10) Business Days), identify and prepare consent request packages in customary form for each Consent Lease and deliver such packages to the applicable Lease Counterparty; (ii) keep Buyer reasonably informed on a bi-weekly basis (or more frequently upon Buyer’s reasonable request) of the status of all efforts to obtain each Required Lease Consent, including by providing Buyer with copies of all material written correspondence with Lease Counterparties relating thereto; (iii) promptly notify Buyer in writing upon becoming aware of any actual or threatened refusal, revocation, withdrawal, or conditioning of any Required Lease Consent; (iv) bear and pay all reasonable and documented out-of-pocket costs and expenses (including any consent, processing, or similar fees payable to any Lease Counterparty) incurred in connection with obtaining the Required Lease Consents, in each case without any right of reimbursement from Buyer or any member of the Company Group; and (v) not agree to any modification, amendment, rent increase, or additional obligation under any Consent Lease in connection with obtaining any Required Lease Consent without the prior written consent of Buyer (not to be unreasonably withheld, conditioned,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generality of the foregoing, (i) Seller shall use its reasonable best efforts to, and shall cause its respective Affiliates to, take or cause to be taken all actions, to do or cause to be done and to assist and cooperate with the other parties hereto in doing all things necessary, proper or advisable under applicable Laws to, in the most expeditious manner practicable, effect the resignations of the directors, managers and officers of the Company Group as Buyer shall identify in writing to Seller no later than five (5) Business Days prior to the Closing Date from their respective capacities as officers, directors, managers or equivalent positions with each member of the Company Group (including with respect to the Company Group members formed in jurisdictions outside the United States); and (ii) no later than five (5) Business Days after the Closing Date, Seller shall deliver to Buyer five (5) USBs each containing a complete copy of the Data Room as of the Effective Date.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prior to the Closing, Seller shall use its reasonable best efforts to, and shall cause its respective Affiliates to, take or cause to be taken all actions to do or cause to be done, and to assist and cooperate with the other parties hereto in doing, all things necessary, proper or advisable to assess and, if needed or appropriate, modify any and all websites and other digital properties owned, used, and/or operated by any Company Group entity, in each case, to ensure compliance with applicable Laws, and, in connection therewith, Seller shall, and shall cause each of its Affiliates to, keep Buyer reasonably apprised of such assessment and to use its reasonable best efforts to make such modifications to any such websites or other digital properties as Buyer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Section 6.1(a), prior to Closing, Seller shall use its reasonable best efforts to provide written evidence, in form and substance reasonably satisfactory to Buyer, that the property leases and concession agreements with respect to the XpresSpa Airport Business locations set forth on Annex 6.1(g) (the “Renewed Lease Locations”) have been renewed or extended such that the XpresSpa Airport Business can continue operating at such locations following the Closing; provided, that, to the extent any such renewal or extension is not received prior to Closing with respect to a Renewed Lease Location, the security deposit or other bond (if any) associated with such Renewed Lease Location shall not be an Eligible Security Deposit, shall be excluded from the definition of Cash and Cash Equivalents and Closing Cash, shall not be reflected in the Purchase Price, and instead such security deposit or bond shall be treated as if it were a Non-U.S. Deposit in accordance with Section 2.5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caps w:val="false"/>
          <w:smallCaps w:val="false"/>
          <w:sz w:val="20"/>
        </w:rPr>
        <w:t>Access and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from the date hereof until the earlier of the Closing Date or termination of this Agreement, Buyer shall be entitled to reasonable access to the books, records and properties of the Company Group during normal business hours and upon reasonable advance notice, and the Company Group shall cooperate with any such reasonable requests for access to the extent such access does not unreasonably interfere with the operations, activities and employees of the Company Group. The foregoing access rights shall not include the right to (i) conduct any environmental testing, sampling or other invasive environmental investigations, including, but not limited to sampling of soil, groundwater, surface water, air or building materials or other intrusive investigations of the Leased Real Property, (ii) have access to any information the disclosure of which is confidential, restricted by contract or applicable Law or would result in the waiver of any privileges (provided that, if the Company Group withholds Buyer’s access pursuant to this clause (ii), then the Company Group shall provide Buyer with reasonable supporting information and the maximum amount of access or information in respect thereof without violating such confidentiality, contractual or legal obligations), (iii) have access to any formulae or other proprietary knowledge or competitively sensitive information of the Company Group, (iv) take any action that would cause material disruption to the businesses of the Company Group, the business of the Seller or any of their respective Affiliates or cause competitive harm to Seller or its Affiliates, (v) contravene any applicable Law, fiduciary duty or binding agreement entered into prior to the date hereof or (vi) disclose any information to the extent that the Seller reasonably determines upon the advice of counsel (x) that such information should not be disclosed due to its competitively sensitive nature, or (y) that disclosure of such information would result in the loss of any attorney-client privilege or work-product doctrine (provided that the Seller shall use reasonable best efforts to make alternative arrangements to disclose such privileged information in a manner that does not waive or violate such privilege). From the date hereof until the earlier of the Closing Date or termination of this Agreement, except in the ordinary course of their respective business activities unrelated to the transactions contemplated hereby, Buyer and its representatives and agents shall not contact or hold discussions with suppliers, vendors, distributors, customers, sales team members, lenders, other material business relations, consultants, directors or employees of the Company Group, in each case, without the prior written consent of Seller and in any event only with the participation of representatives of the Company Group designated by Seller. Buyer agrees to conduct any such discussions with reasonable discretion and sensitivity to the Company Group’s relationships with its suppliers, vendors, distributors, customers, sales team members and employees. In exercising its rights hereunder, Buyer shall conduct itself so as not to interfere in the conduct of the business of the Company Group prior to the Closing.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disclosed to Buyer (or its representatives or affiliates), whether before or after the date hereof, pursuant to this Agreement or in connection with the transactions contemplated by, or the discussions and negotiations preceding, this Agreement, and the terms of this Agreement, shall be held by Buyer, its Affiliates and its and their respective representatives and Debt Financing Sources and their respective representatives or potential Debt Financing Sources and their respective representatives in accordance with and subject to the terms of the mutual confidentiality agreement, dated August 19, 2025, by and between the Seller and Face Haus, LLC, on the other hand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The parties agree that notwithstanding anything to the contrary contained herein or in the Confidentiality Agreement, the Confidentiality Agreement shall survive the date hereof, and only if the Closing shall occur, the Confidentiality Agreement will terminate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 period of seven (7) years after the Closing or for such longer period as may be required by Law, (i) Buyer shall not, and shall cause the Company Group not to, dispose of or destroy any books and records of the Company Group to the extent containing information in respect of any periods prior to the Closing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without first offering to turn over possession thereof to Seller by written notice to Seller at least thirty (30) Business Days prior to the proposed date of such disposition or destruction and (ii) Buyer and the Companies shall provide Seller and its directors, officers, consultants, employees, counsel, accountants, agents and other representatives access, during normal business hours and upon reasonable advance notice, to the Books and Records and such other information and assistance relating to the Company Group solely to the extent necessary for any reasonable business purpose, including financial reporting and accounting matters, the preparation and filing of any Tax Return, the defense of any Tax claim or assessment, in connection with any disclosure obligation or the defense of any Action. Notwithstanding the provisions of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in no event will Buyer or the Company Group be required to provide any information (including any Books and Records) that are, or may reasonably be considered to be in Buyer’s good faith discretion, related to any Action following the Closing involving Buyer or the Company Group, on one hand, and Seller or its Affiliates, on the other hand.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caps w:val="false"/>
          <w:smallCaps w:val="false"/>
          <w:sz w:val="20"/>
        </w:rPr>
        <w:t>Conduct of Business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hereof until the earlier of the Closing or the termination of this Agreement, except as (i) otherwise expressly required herein or the other Transaction Documents, (ii) consented to in writing by Buyer (which consent shall not be unreasonably withheld or delayed), (iii) set forth in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(provided, that, the Seller shall keep the Buyer reasonably apprised of any material developments with respect to any matter set forth on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(iv) required to comply with applicable Law or any Governmental Authority, or (v) expressly required to complete the Pre-Closing Reorganization in accordance with this Agreement, each Company will, and will cause all of the other members of the Company Group to (A) use their respective reasonable best efforts to conduct their respective businesses in the Ordinary Course of Business consistent with past practice in all material respects (unless and to the extent restricted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(B) use their respective reasonable best efforts to preserve intact the business organization, assets, properties, Permits and Insurance Policies of the Company Group, (C) use their respective reasonable best efforts to preserve the rights, goodwill and relationships of their respective employees and other third Persons having business relationships with the Company Group, (D) use their respective reasonable best efforts to keep available the services of the current officers and key employees of the Company Group, and (F) not take any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fail to pay their respective debts, Taxes and other obligations as and when the same become due and payable; provided that no member of the Company Group shall be required to pay (or shall be deemed in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for failing to pay) any debt, Tax or other obligation that is being contested in good faith by appropriate proceedings and for which adequate reserves are established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 to maintain the properties and assets of the Company Group in all material respects in the same condition as they were as of the date of this Agreement (subject to ordinary wear and tear);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perform in any material respect their respective obligations under their contracts, Permits and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 to comply in any material respect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amend, modify, waive or terminate any Real Property Lease except in order to preserve any express right set forth in the applicable Real Property Lease;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or accelerate, terminate, modify, waive or cancel any Material Contract or Permit (or series of related contracts or Permits), or any material provision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impose (or allow to be imposed) any Lien (other than Permitted Liens) upon any of material assets, tangible or intangible,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(or commit to make) any capital expenditures (or series of related capital expenditures) requiring payments of more than $75,000 individually or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capital investment in, or any loan to, or any acquisition of the securities or all or substantially all of the assets of, any other Person (or series of related capital investments, loans or acquisitions);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issue any note, bond or other debt security or create, incur, assume or guarantee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 set aside or pay any dividend or make any distribution with respect to the equity interests of any member of the Company Group (whether in cash or in kind) or redeem, purchase or otherwise acquire any of its equity interests of any member of the Company Group, other than dividends or distributions in cash made prior to the Calculation Time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solely to the extent that, after giving effect to such dividend or distribution: (x) the aggregate Cash and Cash Equivalents held in bank accounts owned by the Company Group in non-U.S. jurisdictions is at least equal to the Ex-U.S. Minimum Cash Amount; and (y) the aggregate Cash and Cash Equivalents held in bank accounts owned by the Company Group across all jurisdictions is not less than the Minimum Cash Amount; </w:t>
      </w:r>
      <w:r>
        <w:rPr>
          <w:rFonts w:ascii="Times New Roman;Times;Serif" w:hAnsi="Times New Roman;Times;Serif"/>
          <w:b w:val="false"/>
          <w:i/>
          <w:caps w:val="false"/>
          <w:smallCaps w:val="false"/>
          <w:sz w:val="20"/>
        </w:rPr>
        <w:t>and provided further</w:t>
      </w:r>
      <w:r>
        <w:rPr>
          <w:rFonts w:ascii="Times New Roman;Times;Serif" w:hAnsi="Times New Roman;Times;Serif"/>
          <w:b w:val="false"/>
          <w:i w:val="false"/>
          <w:caps w:val="false"/>
          <w:smallCaps w:val="false"/>
          <w:sz w:val="20"/>
        </w:rPr>
        <w:t xml:space="preserve"> that Seller shall notify Buyer in writing at least two (2) Business Days prior to making any such dividend or distribution, setting forth in reasonable detail the amount, timing and source of such distribution;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amend or authorize an amendment to the charter or other organizational documents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split, combine or reclassify any shares or units of the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issue, sell or otherwise dispose, or grant any equity interests, options, warrants or other rights to purchase or obtain (including upon conversion, exchange or exercise), any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enter into any material transaction outside of the Ordinary Course of Business or change any material business line or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any change to the Company Group’s accounting methods, policies or practices, except as required by GAAP or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settle, initiate, compromise, pay, discharge, waive, release or resolve any Action or claim involving payments in excess of $25,000 individually or $75,000 in the aggregate, or that would impose any material non-monetary obligations on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enter into any transaction with any Affiliate of Seller or any member of the Company Group (other than transactions solely among members of the Company Group on arm’s-length terms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 as required by the terms of the Seller Benefit Plans and Company Benefit Plans currently in effect and disclosed to Buyer or (B) as otherwise required by applicable Law, (x) increase the compensation or benefits payable or to be provided to any employees or other individual service providers of the Companies or (y) amend in any material respect any Company Benefit Plan or any Seller Benefit Plan to the extent it would impact any employees or other individual services providers of the Companies, in each case, other than (1) changes in the Ordinary Course of Business consistent with past practice in connection with any annual renewal or reenrollment of health and welfare plans or (2) annual salary increases not to exceed 5% in the aggregate and annual salary increases in the Ordinary Course of Business consistent with past practice in connection job-level promotions and consistent with similarly situated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hire or terminate (other than for cause) any employee of the Company Group, other than in the Ordinary Course of Business consistent with past practice with respect to employees with annual compensation not exceeding $75,000;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 any employee of the Company Group (i) to Seller or any of its Affiliates that is not a member of the Company Group, (ii) from any member of the Company Group to any other Person that is not a member of the Company Group, or (iii) from Seller or any of its Affiliates that is not a member of the Company Group to any member of the Company Group, in each case of clauses (i) through (iii), without the prior written consent of Buyer (not to be unreasonably withheld, conditioned or delayed); provided that Seller shall provide Buyer with at least five (5) Business Days’ prior written notice of any proposed transfer of employees within the Company Group (i.e., from one member of the Company Group to another member of the Company Group), together with reasonable detail regarding the employees affected and the business rationale for such transfer, and any such intra-Company Group transfer shall be made on terms and conditions consistent with past practice and shall not result in any incremental cost or liability to Buyer or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fail to maintain in full force and effect all Insurance Policies or allow any Insurance Policy to lapse, be cancelled or terminated without obtaining comparable replacement coverage;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any entity classification or other material Tax election, adopt or change any Tax accounting method or policy, amend any income or other material amended Tax Return, consent to or enter into any closing agreement or similar agreement with any Governmental Authority regarding Taxes, consent to or settle or compromise any Tax claim or assessment or take any position inconsistent with any past practice on any Tax Return, or surrender any right to claim a refund of any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wind-up, liquidate, or dissolve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take any action, or fail to take any action, that would reasonably be expected to result in a Material Adverse Effect;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with respect to any Customer Program (as defined in </w:t>
      </w:r>
      <w:r>
        <w:rPr>
          <w:rFonts w:ascii="Times New Roman;Times;Serif" w:hAnsi="Times New Roman;Times;Serif"/>
          <w:b w:val="false"/>
          <w:i w:val="false"/>
          <w:caps w:val="false"/>
          <w:smallCaps w:val="false"/>
          <w:sz w:val="20"/>
          <w:u w:val="single"/>
        </w:rPr>
        <w:t>Section 3.28</w:t>
      </w:r>
      <w:r>
        <w:rPr>
          <w:rFonts w:ascii="Times New Roman;Times;Serif" w:hAnsi="Times New Roman;Times;Serif"/>
          <w:b w:val="false"/>
          <w:i w:val="false"/>
          <w:caps w:val="false"/>
          <w:smallCaps w:val="false"/>
          <w:sz w:val="20"/>
        </w:rPr>
        <w:t>): (A) modify, amend, or waive any material term of any Gift Card Program, Loyalty Program, or Membership Program, including any change to face value, breakage rate assumptions, expiration policies, inactivity fees, redemption restrictions, pricing, service inclusions, auto-renewal terms, cancellation rights, or refund policies; (B) modify any accounting treatment, revenue recognition methodology, or liability recognition practice applicable to any Customer Program in a manner inconsistent with GAAP or past practice; (C) issue, sell, distribute, or make available gift cards, gift certificates, stored-value instruments, or Membership Program subscriptions at a discount to standard face value or in promotional volumes materially in excess of historical norms; (D) accelerate, wind down, discontinue, or otherwise terminate any Customer Program or take any action that would reasonably be expected to materially reduce the number of active participants, increase redemption rates above historical norms, or reduce the outstanding deferred revenue or liabilities of the Company Group associated with any Customer Program; (E) change the identity of any material third-party administrator or processor for any Customer Program; or (F) fail to comply in any material respect with any applicable Laws governing any Customer Program, including escheat, unclaimed property, and gift card Laws in any jurisdiction in which the Company Group operates; in each case of clauses (A) through (F), without the prior written consent of Buyer (not to be unreasonably withheld, conditioned, or delayed);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agree or commit (whether or not in writing)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the Company Group may take actions outside the scope of the covenants set forth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the extent reasonably necessary (x) to respond to an emergency or imminent threat to the health or safety of any Person, (y) to prevent material damage to or destruction of any property of the Company Group; provided that Seller shall promptly notify Buyer of any such action taken and the reasons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caps w:val="false"/>
          <w:smallCaps w:val="false"/>
          <w:sz w:val="20"/>
        </w:rPr>
        <w:t>Public Announcements.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the Companies and Buyer shall prepare a joint initial announcement, reasonably acceptable to all such parties, to be released on a mutually agreed upon date. Except as may be required by Law or the rules and regulations of the Nasdaq, none of the parties hereto shall, and each party hereto shall cause its respective controlled Affiliates and, to the extent such party has the contractual right to do so, its direct or indirect equityholders not to, issue any press release or make any other public statement with respect to this Agreement or the transactions contemplated hereby, without the prior written consent of Seller and Buyer (which consent shall not be unreasonably withheld, conditioned or delayed). Notwithstanding the foregoing, no consent shall be required for any press release, public statement or other disclosure to the extent required by Law or the rules and regulations of the Nasdaq or under the Exchange Act (including the Proxy Statement prepared and distributed in accordance with this Agreement); provided that, to the extent reasonably practicable and not prohibited by Law, the disclosing party shall consult with the other party in advance regarding the timing and content of such disclosure and provide the other party a reasonable opportunity to review and comment on such disclosure, and shall consider such comments in good faith. No consent shall be required for any public statement to the extent that the information contained in such statement has previously been made publicly available in a public statement or filing made in compliance with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Except as may be required by Law or the rules and regulations of the Nasdaq or under the Exchange Act (including the Proxy Statement prepared and distributed in accordance with this Agreement), none of the parties hereto shall, and each party hereto shall cause its respective controlled Affiliates and, to the extent such party has the contractual right to do so, its direct or indirect equityholders not to, issue any press release or make any public statement disclosing the purchase price contemplated hereby without the prior written consent of Seller and Buyer. If a party hereto seeks to disclose the identity of any of the parties hereto or their respective Affiliates (other than the identity of the Company or its Subsidiaries) in a public statement, the party seeking to make the public statement shall first obtain the written consent of the named party (or their respective Affiliates, as applicable). Notwithstanding anything to the contrary herein or in any other Transaction Document, (i) each party hereto and any Affiliate of any such Person shall be entitled to disclose information (on a confidential basis) to such party’s investors, potential investors, lenders and annual meeting invitees with respect to the transactions contemplated hereby if such information is of a nature customarily conveyed to investors, potential investors and lenders and (ii) the respective financing sources and other professional advisors of any party hereto and any Affiliate of any such Person may publish “tombstones” or other customary announcements.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caps w:val="false"/>
          <w:smallCaps w:val="false"/>
          <w:sz w:val="20"/>
        </w:rPr>
        <w:t>Tail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the Company Group shall purchase a standalone “tail” or “run off” insurance policy for the six (6)-year period following the Closing, covering directors’ and officers’ liability, employment practices liability and fiduciary liability with respect to all current and former directors, officers, managers and employees of the Company Group, in each case with respect to matters existing or occurring at or prior to the Closing (collectively, the “</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The Tail Policies shall (i) be issued directly to the Company Group by an insurer with a Standard &amp; Poor’s rating of at least A, (ii) have a retroactive date no later than the earliest date on which any member of the Company Group first obtained directors’ and officers’ liability, employment practices liability or fiduciary liability coverage (as applicable), and (iii) provide coverage in scope and amount no less favorable than the coverage that was applicable to the Company Group immediately prior to the Closing (whether such coverage was provided under a standalone policy of the Company Group or under a policy maintained by Seller or any of its Affiliates), with a minimum aggregate limit of no less than the limit applicable to the Company Group under such policies immediately prior to the Closing. From and after the Closing, Buyer shall use commercially reasonable efforts to cause the Tail Policies to remain in full force and effect and shall not cause or permit any of its Affiliates to amend, waive, modify or otherwise alter the terms thereunder in any manner adverse to the beneficiaries of coverage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the Company Group or Buyer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 assign or acquirer of the Company Group or Buyer, as the case may be, shall succeed to the obligations set forth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caps w:val="false"/>
          <w:smallCaps w:val="false"/>
          <w:sz w:val="20"/>
        </w:rPr>
        <w:t>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Companies, their Affiliates and their respective equityholders, directors, partners (limited and general), members, managers, officers, employees, agents and representatives (in each case, as they relate to the Companies prior to the Closing, collectively, the “</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shall not have any responsibility for, or incur any Liability to, any Person in connection with Debt Financing that Buyer may seek to obtain in connection with the transactions contemplated by this Agreement, including in connection with any cooperation provided pursuant to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earlier of the Closing and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Companies and Seller shall use reasonable best efforts to provide, and to cause the Company Representatives and the other members of the Company Group (and their respective officers, employees, representatives and advisors) to provide, to Buyer and its Affiliates, at the sole cost and expense of Buyer, such cooperation as is customary for debt financings as is reasonably requested by Buyer in connection with arranging and obtaining Debt Financing (or an alternative financing arrangement), if any, including using reasonable best efforts to: (i) cause appropriate members of the Company Group’s management team to participate, during normal business hours, in a reasonable number of meetings, drafting sessions, presentations, road shows, and rating agency and due diligence sessions that are customary for financings of a type similar to the contemplated Debt Financing, in each case, at such times as mutually coordinated reasonably in advance thereof; (ii) as promptly as reasonably practicable and in any event within the timeframes reasonably necessary to allow Buyer to meet the conditions and timelines set forth in any commitment letter, term sheet, or similar agreement, furnish Buyer, Buyer’s Affiliates and Debt Financing Sources (or any alternative financing sources) with financial and other pertinent information regarding the Company Group as may be reasonably requested by Buyer in connection with arranging, marketing, syndicating or obtaining the Debt Financing (including those requested by Buyer on behalf of its Debt Financing Sources) (it being understood that Buyer shall be responsible for the preparation of any pro forma financial statements and its financing sources in marketing materials for any such Debt Financing); (iii) assist Buyer and its financing sources with their preparation of (A) offering documents, private placement memoranda, bank information memoranda, prospectuses and similar documents for any portion of any such Debt Financing and (B) materials for applicable rating agency presentations; (iv) cooperate with the marketing efforts of Buyer and its debt financing sources for any portion of any such Debt Financing; (v) cooperate with Buyer’s legal counsel in connection with any legal opinions that such legal counsel may be required to deliver in connection with any such Debt Financing; and (vi) use reasonable best efforts to cause the Company Group’s independent auditors to provide customary comfort letters (including “negative assurance” comfort), consents and assistance as may be reasonably requested by Buyer or any such Debt Financing Sources, at Buyer’s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each case, that nothing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require Seller, the Companies, or any other Company Representatives: (1) to provide any cooperation or take any other action that would reasonably be expected to interfere in any material respect with (x) the ordinary course day-to-day operations of Seller, the Company Group, or any of their Affiliates or (y) the commercial relationships of Seller, the Company Group, or any of their Affiliates with any customers, suppliers, or other parties; (2) to incur any costs, obligations or liabilities prior to the Closing, including any obligation to pay any commitment or other similar fee prior to the Closing, that is not advanced, reimbursable or payable by Buyer, or to provide or agree to provide any indemnity in connection with any such Debt Financing or any other financing; (3) to execute or approve any definitive financing documents, including any credit or other agreements, pledge documents, security documents or other certificates in connection with any such Debt Financing, or to enter into or perform any agreement with respect to any such Debt Financing, in each case, that is not contingent upon the Closing, or to otherwise encumber the assets of Seller or the Companies prior to the Closing; (4) to take any action or enter into any document that (x) would reasonably be expected to cause material and demonstrable competitive harm to the Company or its Affiliates if the transactions contemplated by this Agreement are not consummated, (y) would reasonably be expected to cause any condition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not to be satisfied by the Termination Date or otherwise result in a breach of this Agreement by the Company, or (z) would be effective prior to the Closing; (5) to provide any cooperation that unreasonably interferes with Seller’s or any Company’s ability to perform its obligations in accordance with this Agreement; (6) to provide or prepare any description of all or any component of any such Debt Financing; (7) to provide or prepare any projections, risk factors, pro forma financial information or other forward-looking statements or any similar information; (8) to take any action that would reasonably be expected to conflict with or result in a violation of or default under any applicable Law or contract; (9) prior to the Closing, to deliver or require to be delivered any solvency or similar certificate or any legal opinion; (10) to disclose or provide any information the disclosure of which in the reasonable judgment of Seller is restricted by applicable Law or is subject to attorney-client privilege or attorney work product privilege; or (11) to take any corporate, limited liability company or limited partnership actions prior to the Closing to authorize the consummation of any such Debt Financing. Seller shall promptly notify Buyer if Seller becomes aware of any fact or circumstance that would reasonably be expected to materially impair or delay Seller’s ability to provide the cooperation contemplated by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or otherwise shall require the Company or any Affiliate to be an issuer or other obligor with respect to any such Debt Financing prior to the Closing. All non-public information regarding the Company and its Affiliates provided to Buyer or its representatives pursuant to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be treated as “Confidential Information” pursuant to the terms of, and as such term is defined in, the Confidentiality Agreement (together with the undertakings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except that Buyer shall be permitted to disclose such information to its Debt Financing Sources (or any alternative financing source) subject to such Debt Financing Sources (or such alternative financing source) agreeing to confidentiality undertakings substantially similar to those contained in the Confidentiality Agreement with respect to such information (in which case Buyer shall remain responsible to the Company Group for the confidential treatment of such information). Notwithstanding the foregoing or anything in this Agreement to the contrary, non-compliance by any Company or Company Representative with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not relieve Buyer of its obligation to consummate the transactions contemplated hereby, whether or not any Debt Financing is available. In no event shall any Company or any Company Representative be in breach of this Agreement solely because of the failure to obtain any comfort letter or similar document from, or review of any financial or other information by, its accountants; provided that the Company has used reasonable best efforts to cause such accountants to provide such comfort or review.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promptly upon request by the Company Group (i) reimburse the Companies and Company Representatives for all reasonable and documented out-of-pocket costs incurred by the Companies and any Company Representative in connection with the cooperation set forth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(ii) indemnify, defend and hold harmless the Companies and Company Representatives from and against any and all Losses actually suffered or incurred by them in connection with the arrangement of and obtaining the Debt Financing, providing any of the information utilized in connection therewith, or taking any action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except for any such Losses which arise from bad faith, gross negligence, fraud or willful misconduct by Seller, the Companies or any other Company Representative.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Buyer shall use reasonable best efforts to take, or cause to be taken, all actions and to do, or cause to be done, all things reasonably necessary to arrange and consummate equity financing and Debt Financing on commercially reasonable terms and in an aggregate amount sufficient to fund the transactions contemplated by this Agreement (including the payment of the Purchase Price and all fees and expenses payable by Buyer in connection therewith), together with reasonable best efforts to (i) negotiate and enter into definitive agreements with respect thereto, and (ii) consummate any such equity financing and/or Debt Financing at the Closing. For the avoidance of doubt, the failure of Buyer to obtain a Debt Commitment Letter or an Equity Commitment Letter, or to consummate any Debt Financing or equity financing, prior to the Closing shall not, in and of itself, constitute a breach of this Section 6.6(d) or a Willful Breach, so long as following the date hereof Buyer has communicated in good faith with potential financing sources to enter into definitive loan agreements or equity financing documents in an aggregate amount sufficient to fund the transactions contemplated by this Agreement and is otherwise using reasonable best efforts in accordance with this Section 6.6(d). If at any time Buyer determines that it will be unable for any reason to consummate the Debt Financing in a timely manner in order to consummate the transactions contemplated by this Agreement at Closing, or in the event any portion of the Debt Financing expires or is terminated, or the Debt Financing otherwise becomes unavailable, Buyer shall promptly (and in any event within two (2) Business Days) notify Seller of such unavailability and the reasons therefor. Without limiting the generality of this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 until the Closing Buyer shall, and shall cause its controlled Affiliates to, refrain from intentionally taking, directly or indirectly, any action that would reasonably be expected to result in the failure of any of the conditions contained in any definitive agreement relating to such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keep Seller reasonably informed, on a reasonably current basis and in reasonable detail, of its efforts to arrange the Debt Financing. Without limiting the generality of the foregoing, prior to the Closing, Buyer shall promptly (and, in any event, within two (2) Business Days) notify Seller in writing (i) of any material breach or default by any party to any definitive agreements with respect to the Debt Financing, (ii) of the receipt by Buyer, or, to Buyer’s knowledge, any of its Affiliates or their respective employees, agents or representatives of any written notice from any Person with respect to any (A) actual or potential material breach, default, termination or repudiation by any party to any definitive agreement related to the Debt Financing or (B) material dispute or disagreement between or among any parties to any definitive agreement related to the Debt Financing, and (iii) if for any reason Buyer believes in good faith that (x) there is (or there is reasonably likely to be) a dispute or disagreement between or among any parties to any definitive agreement related to the Debt Financing or (y) there is a material possibility that it will not be able to obtain all or any portion of the Debt Financing contemplated in any definitive agreements related thereto. In addition, Seller shall promptly notify Buyer of any material communication Seller or any member of the Company Group receives from any committed Debt Financing Source relating to the Debt Financing.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terminated or modified in such a manner as to adversely affect, in any material respect, any beneficiary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For the avoidance of doubt, the indemnification and reimbursement obligations of Buyer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survive any termination of this Agreement, regardless of the reason for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caps w:val="false"/>
          <w:smallCaps w:val="false"/>
          <w:sz w:val="20"/>
        </w:rPr>
        <w:t>Tax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at its sole cost and expense, shall timely prepare and file or shall cause to be timely prepared and filed any income Tax Return of the Companies and their Subsidiaries for any Pre-Closing Tax Period the taxable year of which ends on or before the Closing Date that are filed after the Closing Date (“</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Seller shall provide Buyer with completed drafts of such Seller Tax Returns for Buyer’s review and comment at least thirty (30) days prior to the due date for filing thereof, and shall incorporate any reasonable comments provided by the Buyer; provided that Buyer’s requests are consistent with the prior practice of the Companies and their respective Subsidiaries, as applicable, and comply with applicable Tax Law. All Seller Tax Returns shall be prepared in a manner consistent with past practices of the Companies and their respective Subsidiaries, except as otherwise required by applicable Tax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shall timely prepare and file, or shall cause to be timely prepared and filed, all Tax Returns of the Companies and their Subsidiaries other than Seller Tax Returns (collectively, “</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including all Tax Returns for any Straddle Period. Each Buyer Tax Return for any Pre-Closing Tax Period (including any Straddle Period) shall be prepared in a manner consistent with past practices of the Companies and their respective Subsidiaries (including reporting positions, jurisdictions, elections and accounting and valuation methods), except as otherwise required by applicable Tax Law, and shall not take any position that would increase Seller’s indemnification obligations under </w:t>
      </w:r>
      <w:r>
        <w:rPr>
          <w:rFonts w:ascii="Times New Roman;Times;Serif" w:hAnsi="Times New Roman;Times;Serif"/>
          <w:b w:val="false"/>
          <w:i w:val="false"/>
          <w:caps w:val="false"/>
          <w:smallCaps w:val="false"/>
          <w:sz w:val="20"/>
          <w:u w:val="single"/>
        </w:rPr>
        <w:t>Section 9.2(a)(iv)</w:t>
      </w:r>
      <w:r>
        <w:rPr>
          <w:rFonts w:ascii="Times New Roman;Times;Serif" w:hAnsi="Times New Roman;Times;Serif"/>
          <w:b w:val="false"/>
          <w:i w:val="false"/>
          <w:caps w:val="false"/>
          <w:smallCaps w:val="false"/>
          <w:sz w:val="20"/>
        </w:rPr>
        <w:t xml:space="preserve"> without Seller’s prior written consent (such consent not to be unreasonably withheld, conditioned, or delayed). Buyer shall provide Seller with completed drafts of each Buyer Tax Return for any Pre-Closing Tax Period (including a Straddle Period) for Seller’s review and comment at least thirty (30) days prior to the due date for filing thereof. Buyer shall incorporate any reasonable comments provided by Seller; provided that Seller’s requests are consistent with applicable Tax Law and prior practice of the Companies and their respective Subsidiaries, as applicable, and comply with applicable Tax Law.</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Cooperation</w:t>
      </w:r>
      <w:r>
        <w:rPr>
          <w:rFonts w:ascii="Times New Roman;Times;Serif" w:hAnsi="Times New Roman;Times;Serif"/>
          <w:b w:val="false"/>
          <w:i w:val="false"/>
          <w:caps w:val="false"/>
          <w:smallCaps w:val="false"/>
          <w:sz w:val="20"/>
        </w:rPr>
        <w:t>. The parties will cooperate as and to the extent reasonably requested by any other party in connection with the filing of any Tax Return or claim for refund and any Action with respect to Taxes or Tax Returns of any Company or any of their respective Subsidiaries. Such cooperation will include, upon any party’s request, the provision of records and information that are reasonably relevant to any such Tax Return or Action and making employees available (if applicable) on a mutually convenient basis to provide additional information and explanation of any material provided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Straddle Periods</w:t>
      </w:r>
      <w:r>
        <w:rPr>
          <w:rFonts w:ascii="Times New Roman;Times;Serif" w:hAnsi="Times New Roman;Times;Serif"/>
          <w:b w:val="false"/>
          <w:i w:val="false"/>
          <w:caps w:val="false"/>
          <w:smallCaps w:val="false"/>
          <w:sz w:val="20"/>
        </w:rPr>
        <w:t xml:space="preserve">. (i) any Taxes, other than property or similar Taxes, of any Company and any of their respective Subsidiaries relating to any Straddle Period shall be allocated between the Pre-Closing Tax Period and the portion of such Straddle Period beginning after the Closing Date by treating the relevant Tax period as if it ended on (and included)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exemptions, allowances or deductions that are calculated on an annual basis (including depreciation and amortization deductions) shall be allocated between the Pre-Closing Tax Period and the period beginning after the Closing Date in proportion to the number of days in each period to which such exemption, allowance or deduction is applicable, and (ii) any property or similar Taxes relating to any Straddle Period shall be allocated between the Pre-Closing Tax Period and the portion of such Straddle Period beginning after the Closing Date on a daily basis, with the portion of such Taxes that are attributable to the Pre-Closing Tax Period determined by multiplying the amount of such Taxes by a fraction the numerator of which is the number of days in the Pre-Closing Tax Period and the denominator of which is the number of days in the entire Straddle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Transfer Taxes</w:t>
      </w:r>
      <w:r>
        <w:rPr>
          <w:rFonts w:ascii="Times New Roman;Times;Serif" w:hAnsi="Times New Roman;Times;Serif"/>
          <w:b w:val="false"/>
          <w:i w:val="false"/>
          <w:caps w:val="false"/>
          <w:smallCaps w:val="false"/>
          <w:sz w:val="20"/>
        </w:rPr>
        <w:t>. Any transfer (including controlling interest), documentary, sales, use, stamp, registration and other such similar Taxes (excluding, for avoidance of doubt, any Income Taxes), and all conveyance fees, recording charges and other similar fees and charges (including any penalties and interest, except as reflected in Indebtedness) incurred in connection with consummation of the transactions contemplated by this Agreement (collectively,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shall be borne equally by Seller on the one hand and Buyer on the other. The applicable party responsible for filing the Tax Returns in respect of the Transfer Taxes will prepare and properly file, true, complete and accurate Tax Returns and all other required documentation with respect to such Transfer Taxes on a timely basis, and will make any and all filings required to be relieved of (and to relieve the other parties from) any Transfer Taxes otherwise applicable to the contemplated transactions.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Tax Sharing Agreements</w:t>
      </w:r>
      <w:r>
        <w:rPr>
          <w:rFonts w:ascii="Times New Roman;Times;Serif" w:hAnsi="Times New Roman;Times;Serif"/>
          <w:b w:val="false"/>
          <w:i w:val="false"/>
          <w:caps w:val="false"/>
          <w:smallCaps w:val="false"/>
          <w:sz w:val="20"/>
        </w:rPr>
        <w:t>. All Tax sharing agreements, arrangements, policies, and guidelines, formal or informal, express or implied, that may exist between any Company or their respective Subsidiaries and Seller or its Affiliates and all rights and obligations thereunder shall terminate as of the Closing Date, and no Company nor any of their respective Subsidiaries shall have Liability thereunder for any and all amounts due in respect of periods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u w:val="single"/>
        </w:rPr>
        <w:t>Section 336(e) Election; Purchase Price Allocation</w:t>
      </w:r>
      <w:r>
        <w:rPr>
          <w:rFonts w:ascii="Times New Roman;Times;Serif" w:hAnsi="Times New Roman;Times;Serif"/>
          <w:b w:val="false"/>
          <w:i w:val="false"/>
          <w:caps w:val="false"/>
          <w:smallCaps w:val="false"/>
          <w:sz w:val="20"/>
        </w:rPr>
        <w:t>. Seller and Buyer shall, join in making a validly executed election under Section 336(e) of the Code (and any corresponding election under state, local, or foreign law) (including by signing with a wet-ink signature to the extent so required) (the “</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with respect to the purchase of XpresTest and any applicable Subsidiary of XpresSpa that is treated as a domestic C corporation for U.S. federal income tax purposes (“</w:t>
      </w:r>
      <w:r>
        <w:rPr>
          <w:rFonts w:ascii="Times New Roman;Times;Serif" w:hAnsi="Times New Roman;Times;Serif"/>
          <w:b w:val="false"/>
          <w:i w:val="false"/>
          <w:caps w:val="false"/>
          <w:smallCaps w:val="false"/>
          <w:sz w:val="20"/>
          <w:u w:val="single"/>
        </w:rPr>
        <w:t>XpresSpa C Sub</w:t>
      </w:r>
      <w:r>
        <w:rPr>
          <w:rFonts w:ascii="Times New Roman;Times;Serif" w:hAnsi="Times New Roman;Times;Serif"/>
          <w:b w:val="false"/>
          <w:i w:val="false"/>
          <w:caps w:val="false"/>
          <w:smallCaps w:val="false"/>
          <w:sz w:val="20"/>
        </w:rPr>
        <w:t xml:space="preserve">”) set forth under </w:t>
      </w:r>
      <w:r>
        <w:rPr>
          <w:rFonts w:ascii="Times New Roman;Times;Serif" w:hAnsi="Times New Roman;Times;Serif"/>
          <w:b w:val="false"/>
          <w:i w:val="false"/>
          <w:caps w:val="false"/>
          <w:smallCaps w:val="false"/>
          <w:sz w:val="20"/>
          <w:u w:val="single"/>
        </w:rPr>
        <w:t>Schedule 6.7(f)</w:t>
      </w:r>
      <w:r>
        <w:rPr>
          <w:rFonts w:ascii="Times New Roman;Times;Serif" w:hAnsi="Times New Roman;Times;Serif"/>
          <w:b w:val="false"/>
          <w:i w:val="false"/>
          <w:caps w:val="false"/>
          <w:smallCaps w:val="false"/>
          <w:sz w:val="20"/>
        </w:rPr>
        <w:t xml:space="preserve">. The parties agree that the Purchase Price with respect to XpresTest and any XpresSpa C Sub shall be allocated among the assets of XpresTest and each XpresSpa C Sub in accordance with their relative fair market values as of the Closing Date, and for any Subsidiary of XpresSpa that is not a XpresSpa C Sub, consistent with the methodologies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Seller shall prepare and deliver to the Buyer within forty-five (45) Business Days after the Closing Date a schedule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allocating the Purchase Price (plus other relevant items) among the applicable assets as of the beginning of the day after the Closing Date consistent with this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as applicable. Buyer shall provide reasonable comments to such Allocation Schedule, which the Seller shall incorporate if consistent with applicable Tax Law. The Allocation Schedule shall be binding on the parties hereto, and the parties hereto agree not to take (or permit any of their Affiliates to take) any tax position (on IRS form 8883 or otherwise) that is inconsistent with such Allocation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u w:val="single"/>
        </w:rPr>
        <w:t>Tax Contests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shall promptly notify Seller in writing upon receipt by Buyer or any Company or any of their respective Subsidiaries of notice of any pending or threatened audit, examination, claim, assessment, or other proceeding with respect to Taxes of or relating to any Company or any of their respective Subsidiaries for any Pre-Closing Tax Period or any Straddle Period (a “</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Such notice shall describe in reasonable detail the nature of the Tax Contest and the amounts involved.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shall have the right, at Seller’s sole cost and expense, to control the conduct and resolution of any Tax Contest relating solely to a Pre-Closing Tax Period, to the extent there is a reasonable likelihood that the Tax liability of the Seller or the Seller’s indemnification obligation under Section 9.2(a) may be affected (determined at the reasonable discretion of the Buyer) (“</w:t>
      </w:r>
      <w:r>
        <w:rPr>
          <w:rFonts w:ascii="Times New Roman;Times;Serif" w:hAnsi="Times New Roman;Times;Serif"/>
          <w:b w:val="false"/>
          <w:i w:val="false"/>
          <w:caps w:val="false"/>
          <w:smallCaps w:val="false"/>
          <w:sz w:val="20"/>
          <w:u w:val="single"/>
        </w:rPr>
        <w:t>Seller Tax Contest</w:t>
      </w:r>
      <w:r>
        <w:rPr>
          <w:rFonts w:ascii="Times New Roman;Times;Serif" w:hAnsi="Times New Roman;Times;Serif"/>
          <w:b w:val="false"/>
          <w:i w:val="false"/>
          <w:caps w:val="false"/>
          <w:smallCaps w:val="false"/>
          <w:sz w:val="20"/>
        </w:rPr>
        <w:t>”); provided that (A) Seller shall keep Buyer reasonably informed of the status of such Seller Tax Contest and shall provide Buyer with copies of all material correspondence and filings, and (B) Seller shall not settle, compromise, or otherwise resolve any such Seller Tax Contest without the prior written consent of Buyer (such consent not to be unreasonably withheld, conditioned, or delayed), and (C) Buyer shall have the right to participate in (but not control) any such Seller Tax Contest at Buyer’s own cost and expense.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Tax Contest that is not a Seller Tax Contest (a “</w:t>
      </w:r>
      <w:r>
        <w:rPr>
          <w:rFonts w:ascii="Times New Roman;Times;Serif" w:hAnsi="Times New Roman;Times;Serif"/>
          <w:b w:val="false"/>
          <w:i w:val="false"/>
          <w:caps w:val="false"/>
          <w:smallCaps w:val="false"/>
          <w:sz w:val="20"/>
          <w:u w:val="single"/>
        </w:rPr>
        <w:t>Buyer Tax Contest</w:t>
      </w:r>
      <w:r>
        <w:rPr>
          <w:rFonts w:ascii="Times New Roman;Times;Serif" w:hAnsi="Times New Roman;Times;Serif"/>
          <w:b w:val="false"/>
          <w:i w:val="false"/>
          <w:caps w:val="false"/>
          <w:smallCaps w:val="false"/>
          <w:sz w:val="20"/>
        </w:rPr>
        <w:t>”), (A) Seller shall have the right, at Seller’s sole cost and expense, to participate in the conduct and resolution of such Buyer Tax Contest, (B) Buyer shall keep Seller reasonably informed of the status of such Buyer Tax Contest and shall provide Seller with copies of all material correspondence and filings, and (C) Buyer shall not settle, compromise, or otherwise resolve any such Buyer Tax Contest without the prior written consent of Seller (such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u w:val="single"/>
        </w:rPr>
        <w:t>Post-Closing Tax Actions</w:t>
      </w:r>
      <w:r>
        <w:rPr>
          <w:rFonts w:ascii="Times New Roman;Times;Serif" w:hAnsi="Times New Roman;Times;Serif"/>
          <w:b w:val="false"/>
          <w:i w:val="false"/>
          <w:caps w:val="false"/>
          <w:smallCaps w:val="false"/>
          <w:sz w:val="20"/>
        </w:rPr>
        <w:t>. Without the prior written consent of Seller (such consent not to be unreasonably withheld, conditioned, or delayed), after the Closing, neither Buyer nor any of its Affiliates (including any Company or any of their respective Subsidiaries) shall, in each case, other than as contemplated by this Agreement, and/or except to the extent required by applicable Tax Law: (i) file, amend, refile, or otherwise modify any income or other material Tax Return of any Company or any of their respective Subsidiaries for any Pre-Closing Tax Period or any Straddle Period, (ii) make, change, or revoke any Tax election with respect to any Company or any of their respective Subsidiaries that has retroactive effect to any Pre-Closing Tax Period, (iii) change any Tax accounting method or Tax accounting period of any Company or any of their respective Subsidiaries that has retroactive effect to any Pre-Closing Tax Period, (iv) voluntarily extend or waive, or cause to be extended or waived, any statute of limitations or other period for the assessment or collection of any Tax of any Company or any of their respective Subsidiaries for any Pre-Closing Tax Period, (v) initiate any voluntary disclosure agreement, ruling request, or similar proceeding with any Governmental Authority with respect to any Tax of any Company or any of their respective Subsidiaries for any Pre-Closing Tax Period, or (vi) take any other action that would reasonably be expected to increase Seller’s indemnification obligations under Section 9.2(a)(iv) or otherwise increase the Tax liability of any Company or any of its Subsidiaries for any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Tax Refunds</w:t>
      </w:r>
      <w:r>
        <w:rPr>
          <w:rFonts w:ascii="Times New Roman;Times;Serif" w:hAnsi="Times New Roman;Times;Serif"/>
          <w:b w:val="false"/>
          <w:i w:val="false"/>
          <w:caps w:val="false"/>
          <w:smallCaps w:val="false"/>
          <w:sz w:val="20"/>
        </w:rPr>
        <w:t>. Seller shall be entitled to any refund (or credit in lieu of refund) of Taxes of any Company or any of their respective Subsidiaries (including any interest thereon) that is attributable to any Pre-Closing Tax Period (a “</w:t>
      </w:r>
      <w:r>
        <w:rPr>
          <w:rFonts w:ascii="Times New Roman;Times;Serif" w:hAnsi="Times New Roman;Times;Serif"/>
          <w:b w:val="false"/>
          <w:i w:val="false"/>
          <w:caps w:val="false"/>
          <w:smallCaps w:val="false"/>
          <w:sz w:val="20"/>
          <w:u w:val="single"/>
        </w:rPr>
        <w:t>Pre-Closing Tax Refund</w:t>
      </w:r>
      <w:r>
        <w:rPr>
          <w:rFonts w:ascii="Times New Roman;Times;Serif" w:hAnsi="Times New Roman;Times;Serif"/>
          <w:b w:val="false"/>
          <w:i w:val="false"/>
          <w:caps w:val="false"/>
          <w:smallCaps w:val="false"/>
          <w:sz w:val="20"/>
        </w:rPr>
        <w:t xml:space="preserve">”), other than any refund that is attributable to a carryback from a Post-Closing Tax Period or that was taken into account in the calculation of the Purchase Price (including as a reduction of Accrued Income Taxes or Indebtedness). Buyer shall, and shall cause each Company and their respective Subsidiaries to, promptly pay to Seller the amount of any Pre-Closing Tax Refund (net of any Taxes imposed on, or any reasonable out-of-pocket costs incurred by, Buyer or any Company in connection with the receipt thereof) within ten (10) Business Days of receipt or application of such refund or credit. At Seller’s reasonable request and expense, Buyer shall, and shall cause each Company and their respective Subsidiaries to, use commercially reasonable efforts to file for and obtain any Pre-Closing Tax Refund to which Seller is entitled under this </w:t>
      </w:r>
      <w:r>
        <w:rPr>
          <w:rFonts w:ascii="Times New Roman;Times;Serif" w:hAnsi="Times New Roman;Times;Serif"/>
          <w:b w:val="false"/>
          <w:i w:val="false"/>
          <w:caps w:val="false"/>
          <w:smallCaps w:val="false"/>
          <w:sz w:val="20"/>
          <w:u w:val="single"/>
        </w:rPr>
        <w:t>Section 6.7(i)</w:t>
      </w:r>
      <w:r>
        <w:rPr>
          <w:rFonts w:ascii="Times New Roman;Times;Serif" w:hAnsi="Times New Roman;Times;Serif"/>
          <w:b w:val="false"/>
          <w:i w:val="false"/>
          <w:caps w:val="false"/>
          <w:smallCaps w:val="false"/>
          <w:sz w:val="20"/>
        </w:rPr>
        <w:t>; provided that Buyer shall not be required to take any action that may adversely affect Buyer or any Company for any Post-Closing Tax Period (determined at the reasonable discretion of the Buyer).</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u w:val="single"/>
        </w:rPr>
        <w:t>Push-Out Election</w:t>
      </w:r>
      <w:r>
        <w:rPr>
          <w:rFonts w:ascii="Times New Roman;Times;Serif" w:hAnsi="Times New Roman;Times;Serif"/>
          <w:b w:val="false"/>
          <w:i w:val="false"/>
          <w:caps w:val="false"/>
          <w:smallCaps w:val="false"/>
          <w:sz w:val="20"/>
        </w:rPr>
        <w:t>. With respect to each Subsidiary that is a partnership for U.S. federal income tax purposes, the Seller shall cooperate with the Buyer and take such actions as are necessary to cause the applicable Subsidiary to make a “push out” election under Section 6226(a) of the Code (any corresponding provision of state or local law) with respect to any imputed underpayment relating to a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u w:val="single"/>
        </w:rPr>
        <w:t>754 Election</w:t>
      </w:r>
      <w:r>
        <w:rPr>
          <w:rFonts w:ascii="Times New Roman;Times;Serif" w:hAnsi="Times New Roman;Times;Serif"/>
          <w:b w:val="false"/>
          <w:i w:val="false"/>
          <w:caps w:val="false"/>
          <w:smallCaps w:val="false"/>
          <w:sz w:val="20"/>
        </w:rPr>
        <w:t>. To the extent not already in place, Seller shall cooperate in causing any Subsidiary that is a partnership for U.S. federal income tax purposes to make and keep in effect a valid election under Section 754 of the Code (or the corresponding section of state, local or non-US law) for the tax year that includes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caps w:val="false"/>
          <w:smallCaps w:val="false"/>
          <w:sz w:val="20"/>
        </w:rPr>
        <w:t>No Negotiation.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of (i) the Closing and (ii)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neither Seller nor any Company or their respective Affiliates shall, and each of Seller and the Companies shall instruct and cause their respective directors, officers, employees and other representatives not to, directly or indirectly: (x) solicit, initiate, knowingly encourage or knowingly facilitate any inquiries or proposals from, discuss or negotiate with, or provide any non-public information to, any Person (other than Buyer and its Affiliates and representatives) regarding any merger, consolidation, sale of equity, sale of substantially all of the assets of, business combination or similar transaction involving the Company Group or any portion of the Business (any of the above, an “</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or any proposal or offer that would reasonably be expected to lead to an Alternative Transaction; (y) engage in, participate in or otherwise continue any discussions or negotiations regarding, or furnish to any Person any non-public information with respect to, or take any other action to knowingly facilitate the making of, any proposal or offer that constitutes, or would reasonably be expected to lead to, any Alternative Transaction; or (z) enter into or agree to enter into any letter of intent, memorandum of understanding, agreement in principle, merger agreement, acquisition agreement or other similar agreement relating to any Alternative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and the Companies shall, and shall cause their respective representatives to, immediately cease and cause to be terminated any discussions and negotiations with any Person conducted heretofore with respect to any Alternative Transaction, or any proposal or offer that would reasonably be expected to lead to any Alternative Transaction. Seller shall promptly inform the individuals and entities referred to in the preceding sentence of the obligations undertaken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promptly request that each Person that has executed a confidentiality agreement in connection with its consideration of making an Alternative Transaction within the past two (2) years return or destroy (as provided in the terms of such confidentiality agreement) all confidential information concerning the Business, and shall promptly terminate all physical and electronic data access previously granted to such Person.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shall promptly (but in no event later than twenty-four (24) hours after any directors or executive officers of Seller become aware of the occurrence of any of the events set forth in clauses (A) through (C) below and, in any event, within seventy-two (72) hours) notify Buyer if (A) any Alternative Transaction, or any indication of interest, proposal or offer with respect to an Alternative Transaction, is received by Seller, any Company or any of their respective representatives, (B) any non-public information is requested in connection with any Alternative Transaction from Seller, any Company or any of their respective representatives, or (C) any discussions or negotiations with respect to an Alternative Transaction are sought to be initiated or continued with Seller, any Company or any of their respective representatives, indicating, in connection with such notice, the name of such Person and the material terms and conditions of any such proposals or offers (including, if applicable, copies of any written requests, proposals or offers, including proposed agreements), and thereafter shall keep Buyer reasonably informed, on a reasonably current basis, of the status and material terms of any such proposals or offers (including any amendments thereto) and the status of any such discussions or negotiations.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at any time prior to receipt of the Stockholder Approval, Seller may furnish information to, and negotiate or otherwise engage in discussions with, any Person who delivers a bona fide written inquiry, proposal or offer from any Person or group (other than Buyer or its Affiliates) relating to, in a single transaction or series of related transactions, an Alternative Transaction, that was not solicited after the date of this Agreement, if and so long as (i) the board of directors of Seller determines in good faith after consultation with its outside legal counsel that (x) the failure to take such action would reasonably be expected to result in a breach of the directors’ fiduciary duties under applicable Law, and (y) such a proposal is, or would reasonably be expected to lead to, an Alternative Transaction that is more favorable from a financial point of view to Seller’s stockholders than the transactions contemplated by this Agreement and (z) is reasonably likely to be consummated on the terms proposed (including that such proposal shall not be subject to any financing condition or, if subject to a financing condition, shall be accompanied by committed financing in an aggregate amount sufficient to fund such Alternative Transaction in full on terms and from financing sources that are reasonably likely to result in such financing being consummated on the proposed timeline, as determined by the board of directors of Seller in good faith after consultation with its financial advisors), in each case, taking into account all legal, regulatory, financial, timing, financing, and other aspects of such proposal and of this Agreement (a “</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(ii) there has been no material breach of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in connection with such Alternative Transaction, (iii) Seller has provided at least 24 hours prior written notice to Buyer of its intention to furnish information to, and negotiate or otherwise engage in discussions with, any Person, and (iv) Seller has provided Buyer with a copy of written inquiry, proposal or offer;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Seller (x) will not take any such action without first entering into an Acceptable Confidentiality Agreement with such Person notwithstanding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and (y) will concurrently (and in any event within 24 hours) provide to Buyer any non-public information concerning the Business provided to such other Person which was not previously provided to Buyer.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agrees that it will keep Buyer reasonably informed, on a prompt basis, of the status and material terms of any such proposals or offers and the current basis of the status and details (including any material developments) in respect of any such discussions or negotiations and that it will deliver to Buyer a summary of any material changes to any such proposals or offers and all nonpublic information being furnished to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neither the board of directors of Seller nor any committee thereof shall (i) withdraw, modify or qualify, or publicly propose to withdraw, modify or qualify, the Board Recommendation, (ii) recommend the approval or adoption of, or approve or adopt, declare advisable, or publicly propose to recommend, approve, adopt or declare advisable, any Alternative Transaction, (iii) publicly take a neutral position or no position with respect to an Alternative Transaction at any time beyond ten Business Days after receipt of such Alternative Transaction by Seller or any public announcement by the party that made the Alternative Transaction proposal, (iv) fail to publicly reaffirm the Board Recommendation within five (5) Business Days of a reasonable written request by Buyer to make such public reaffirmation or (v) make any public statement in connection with the Stockholder Meeting that is inconsistent with the Board Recommendation (any action described in this clause being referred to as an “</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Notwithstanding anything in this Agreement to the contrary, at any time prior to the receipt of the Stockholder Approval (and in no event after the receipt of the Stockholder Approval), the board of directors of Seller may effect an Adverse Recommendation Change and, subject to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terminate this Agreement if the board of directors of Seller receives an unsolicited Alternative Transaction that the board has determined to be a Superior Proposal, and the board further determines in good faith after consultation with its outside legal counsel that the failure to make an Adverse Recommendation Change would result in a breach of the directors’ fiduciary duties under applicable Law. Prior to effecting such Adverse Recommendation Change, Seller shall provide Buyer with three (3) Business Days’ prior written notice advising Buyer of its intention to effect an Adverse Recommendation Change, and specifying in reasonable detail the material terms and conditions of, and the identity of any Person proposing, such Superior Proposal, and Seller shall, during such time and if requested by Buyer, engage in good faith negotiations with Buyer to amend this Agreement (x) such that such Alternative Transaction would no longer constitute a Superior Proposal or (y) in a manner such that the failure of the board of directors of Seller to make an Adverse Recommendation Change in response to such Alternative Transaction would no longer b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in this Agreement to the contrary, at any time prior to the receipt of the Stockholder Approval (and in no event after the receipt of the Stockholder Approval), the board of directors of Seller may effect an Adverse Recommendation Change if the board of directors of Seller determines in good faith, after consultation with its outside legal counsel, that an Intervening Event has occurred and that, in light of such Intervening Event, the failure to make an Adverse Recommendation Change would be inconsistent with the fiduciary duties of the directors under applicable Law. Prior to effecting such Adverse Recommendation Change, Seller shall provide Buyer with five (5) Business Days’ prior written notice advising Buyer of its intention to effect an Adverse Recommendation Change, specifying in reasonable detail the nature of the Intervening Event, and Seller shall, during such time and if requested by Buyer, engage in good faith negotiations with Buyer to amend this Agreement in a manner such that the failure of the board of directors of Seller to make an Adverse Recommendation Change in response to the Intervening Event would no longer be inconsistent with the fiduciary duties of the directors under applicable Law; provided that, in the event of any material change to the facts or circumstances relating to the applicable Intervening Event, Seller shall be required to deliver a new written notice to Buyer in accordance with this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and the five (5) Business Day negotiation period shall recommence upon Buyer’s receipt of each such new notice. For the avoidance of doubt, if Seller delivers a notice pursuant to this Section 6.8(e) and does not irrevocably withdraw such notice in writing prior to the expiration of the five (5) Business Day period referred to above, the delivery of such notice shall be deemed to constitute an Adverse Recommendation Change for all purposes of this Agreement, including for purposes of Section 8.1(e)(i).</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Adverse Recommendation Change, if this Agreement is not otherwise terminated by any party hereto in accordance with the terms hereof, this Agreement shall be submitted to Seller’s stockholders at the Stockholder Meeting for the purpose of voting on adopting this Agreement, and nothing contained herein shall be deemed to relieve Seller of such obligation. From the date of this Agreement until the Closing Date, Seller shall not terminate, amend, modify or waive any provision of any “standstill” or similar agreement to which Seller is a party and shall use its reasonable best efforts to enforce, to the fullest extent permitted under applicable Law, the provisions of any such agreement, including by seeking injunctions to prevent any breaches of such agreements and to enforce specifically the terms and provisions thereof, except, in each case, to the extent the board of directors of Seller determines in good faith, after consultation with outside counsel, that failure to take such action would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elsewhere in this Agreement shall prohibit Seller from (i) taking and disclosing to its stockholders a position contemplated by Rule 14d-9, Rule 14e-2(a) or Item 1012(a) of Regulation M-A promulgated under the Exchange Act or (ii) making any disclosure to its stockholders if the board of directors of Seller determines in good faith (after consultation with and receiving advice of its outside counsel) that failure to do so would result in a breach of the directors’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disclosure made pursuant to clause (i) or (ii) of this </w:t>
      </w:r>
      <w:r>
        <w:rPr>
          <w:rFonts w:ascii="Times New Roman;Times;Serif" w:hAnsi="Times New Roman;Times;Serif"/>
          <w:b w:val="false"/>
          <w:i w:val="false"/>
          <w:caps w:val="false"/>
          <w:smallCaps w:val="false"/>
          <w:sz w:val="20"/>
          <w:u w:val="single"/>
        </w:rPr>
        <w:t>Section 6.8(g)</w:t>
      </w:r>
      <w:r>
        <w:rPr>
          <w:rFonts w:ascii="Times New Roman;Times;Serif" w:hAnsi="Times New Roman;Times;Serif"/>
          <w:b w:val="false"/>
          <w:i w:val="false"/>
          <w:caps w:val="false"/>
          <w:smallCaps w:val="false"/>
          <w:sz w:val="20"/>
        </w:rPr>
        <w:t xml:space="preserve"> (other than any disclosure made in connection with an Adverse Recommendation Change permitted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shall be deemed to constitute an Adverse Recommendation Change unless the board of directors of Seller shall expressly publicly reaffirm the Board Recommendation in such disclosure. For avoidance of doubt, it shall not constitute an Adverse Recommendation Change for the board of directors of Seller to make a “stop, look and listen” communication pursuant to Rule 14d-9(f) under the Exchange Act.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i/>
          <w:caps w:val="false"/>
          <w:smallCaps w:val="false"/>
          <w:sz w:val="20"/>
        </w:rPr>
        <w:t>Preparation of Proxy Statement;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in consultation with Buyer, prepare and file with the SEC as promptly as practicable (and in any event within 20 days) after the date of this Agreement a preliminary version of the Proxy Statement to be sent to Seller’s stockholders in connection with the Stockholder Meeting. Seller shall not file the Proxy Statement (or any preliminary version thereof) with the SEC without first providing Buyer and its counsel a reasonable opportunity (which shall be no less than five (5) Business Days) to review and comment thereon, and Seller shall give reasonable and good faith consideration to all additions, deletions or changes suggested by Buyer or its counsel; provided that no disclosure relating specifically to non-public information about Buyer or its Affiliates may be made without Buyer’s prior approval (which approval shall not be unreasonably withheld, conditioned or delayed). Unless there has been an Adverse Recommendation Change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include in the Proxy Statement the Board Recommendation. If, prior to the expiration of the ten (10) day waiting period provided in Rule 14a-6 under the Exchange Act, Seller does not receive either (i) comments from the SEC on the preliminary Proxy Statement or (ii) notice from the SEC that it will review the preliminary Proxy Statement, then, subject to Section 6.9(j) Seller shall file definitive proxy materials (including the definitive Proxy Statement) with the SEC and cause the definitive Proxy Statement to be mailed to Seller’s stockholders as soon as reasonably practicable, and in any event not later than the later of (i) five (5) Business Days after the expiration of such waiting period, and (ii) one (1) Business Day after the establishment of the record date for the Stockholder Meeting pursuant to Section 6.9(j); provided, that as of the date of such mailing, Seller has not received any comments from the SEC or any notice that the SEC will review the Proxy Statement. Seller shall use reasonable efforts to respond to all SEC comments, if any, with respect to the Proxy Statement within 5 Business Days of receipt thereof, and shall promptly notify Buyer if it anticipates that any response will require more than 5 Business Days. Promptly following confirmation by the SEC that the SEC has no further comments and the establishment of the record date for the Stockholder Meeting pursuant to Section 6.9(j), Seller shall cause the definitive Proxy Statement to be filed with the SEC and mailed to Seller’s stockholders. Seller shall be responsible for 100% of the fees, costs and expenses associated with the preparation, filing and mailing of the Proxy Statement. Seller shall establish a record date for the Stockholder Meeting in accordance with Section 6.9(j). Seller shall engage a nationally recognized proxy solicitation firm reasonably acceptable to Buyer (the “</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at Seller’s sole cost and expense, to solicit proxies from Seller’s stockholders in favor of the Stockholder Approval. Seller shall cause the Proxy Solicitor to (i) commence solicitation efforts no later than the first Business Day following the mailing of the definitive Proxy Statement, (ii) provide Buyer with weekly written reports on solicitation status and vote tabulation results, and (iii) continue solicitation efforts through the date of the Stockholder Meeting.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Buyer shall promptly furnish all information concerning such Person and its Affiliates to the other, and provide such other assistance, as may be reasonably requested by such other Party to be included therein and will otherwise reasonably assist and cooperate with the other in the preparation, filing and distribution of the Proxy Statement and the resolution of any comments to either received from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(i) notify Buyer promptly of the receipt of any comments, whether written or oral, from the SEC or its staff and of any request by the SEC or its staff for amendments or supplements to the Proxy Statement or for additional information and (ii) supply Buyer with copies of all correspondence between it or any of its representatives, on the one hand, and the SEC or its staff, on the other hand, with respect to such filings. Prior to responding to any comments from the SEC or its staff, Seller shall consult with Buyer and provide Buyer and its counsel a reasonable opportunity to review and comment on any written response thereto, and Seller shall give reasonable and good faith consideration to all additions, deletions or changes suggested by Buyer or its counsel.</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the SEC or its staff or by applicable Law, Seller shall (i) provide drafts of all amendments and supplements to the Proxy Statement to Buyer, (ii) give Buyer and its counsel at least three (3) Business Days to review and comment thereon, and (iii) give reasonable and good faith consideration to all additions, deletions or changes suggested by Buyer or its counsel; provided that the foregoing shall not limit Seller’s ability to comply with requests by the SEC or its staff on a shorter timeline to the extent required by the SEC’s specific deadline, and in such event Seller shall provide Buyer with as much prior notice as is reasonably practicable under the circumstances.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will take all action necessary in accordance with applicable Law, its organizational documents and the rules of the Nasdaq to establish a record date for, duly call, give notice of, convene and hold a meeting of its stockholders (the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as promptly as reasonably practicable following the mailing of the Proxy Statement to Seller’s stockholders, for the purpose of obtaining the Stockholder Approval. Notwithstanding anything to the contrary in this Agreement, Seller shall convene, subject to </w:t>
      </w:r>
      <w:r>
        <w:rPr>
          <w:rFonts w:ascii="Times New Roman;Times;Serif" w:hAnsi="Times New Roman;Times;Serif"/>
          <w:b w:val="false"/>
          <w:i w:val="false"/>
          <w:caps w:val="false"/>
          <w:smallCaps w:val="false"/>
          <w:sz w:val="20"/>
          <w:u w:val="single"/>
        </w:rPr>
        <w:t>Section 6.9(f)</w:t>
      </w:r>
      <w:r>
        <w:rPr>
          <w:rFonts w:ascii="Times New Roman;Times;Serif" w:hAnsi="Times New Roman;Times;Serif"/>
          <w:b w:val="false"/>
          <w:i w:val="false"/>
          <w:caps w:val="false"/>
          <w:smallCaps w:val="false"/>
          <w:sz w:val="20"/>
        </w:rPr>
        <w:t>, and hold the Stockholder Meeting (i) as soon as practicable following the mailing of the Proxy Statement to Seller’s stockholders, and (ii) in any event no later than one hundred (100) days after the date of this Agreement (the “</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in each case, or on such other date elected by Seller with Buyer’s prior written consent (which shall not be unreasonably withheld, conditioned or delayed). Seller shall use its reasonable best efforts to solicit proxies to obtain the Stockholder Approval, including through the engagement of the Proxy Solicitor in accordance with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shall cooperate with and keep Buyer informed upon Buyer’s reasonable request regarding its solicitation efforts and voting results following the dissemination of the Proxy Statement to Seller’s stockholders. Seller shall be permitted to postpone or adjourn the Stockholder Meeting (after consultation with Buyer) if, but only if, (i) as of the time that the Stockholder Meeting is originally scheduled (as set forth in the Proxy Statement), there are holders of an insufficient number of shares of Seller’s common stock present or represented by proxy at the Stockholder Meeting to constitute a quorum at the Stockholder Meeting or Seller has determined in good faith (after consultation with Buyer and the Proxy Solicitor) that it has not received proxies representing sufficient votes to obtain Stockholder Approval, (ii) Seller has determined in good faith (after consultation with outside legal counsel) that it is required by applicable Law or Governmental Order to postpone or adjourn the Stockholder Meeting, (iii) Seller is requested to postpone or adjourn the Stockholder Meeting by the SEC or its staff or (iv) with the prior written consent of Buyer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Seller shall not be permitted to postpone or adjourn the Stockholder Meeting pursuant to clause (i) above on more than two (2) occasions in the aggregate without the prior written consent of Buyer, (B) no single postponement or adjournment pursuant to clause (i) above shall exceed ten (10) Business Days in duration without the prior written consent of Buyer, (C) in no event shall any postponement or adjournment cause the Stockholder Meeting to be held after the Meeting Backstop Date without Buyer’s prior written consent; provided that the Meeting Backstop Date shall be automatically extended on a day-for-day basis for any period during which the Proxy Statement is subject to SEC review and has not been cleared for mailing, and (D) any postponement or adjournment beyond the limitations set forth in clauses (A) and (B) above shall require the prior written consent of Buyer (with each such consent of Buyer in this clause (f) not to be unreasonably withheld, conditioned or delayed). In the event of any postponement or adjournment of the Stockholder Meeting, Seller shall use its reasonable best efforts during the postponement or adjournment period to solicit additional proxies for the Stockholder Meeting and shall provide Buyer with daily updates on proxy solicitation and vote tabulation results during such period.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Concurrently with the execution and delivery of this Agreement, Seller shall have obtained and delivered to Buyer duly executed voting and support agreements, to which Buyer shall also be a party (each, a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from each of the following Persons: (i) each member of the board of directors of Seller who holds shares of Seller’s common stock entitled to vote at the Stockholder Meeting; (ii) each executive officer of Seller who holds shares of Seller’s common stock entitled to vote at the Stockholder Meeting; and (iii) American Ventures LLC Series XXIV XWELL. With respect to any Person who becomes a director, officer or five percent (5%) or greater stockholder of Seller after the date of this Agreement, Seller shall use its reasonable best efforts to obtain, and to deliver to Buyer, a duly executed Support Agreement from such Person within five (5) Business Days of such Person becoming a director, officer or five percent (5%) or greater stockholder of Seller, as applicable. Each Support Agreement shall, at a minimum, obligate the applicable Person to (A) vote (or cause to be voted) all shares of Seller’s common stock beneficially owned by such Person in favor of the Stockholder Approval and against any Alternative Transaction or any other proposal that would reasonably be expected to impede, interfere with, delay, postpone or adversely affect the consummation of the transactions contemplated by this Agreement, (B) not transfer, sell, assign, pledge, hypothecate or otherwise dispose of any shares of Seller’s stock beneficially owned by such Person prior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(C) not revoke, withdraw or modify such Person’s obligations under the applicable Support Agreement. Each Support Agreement shall be irrevocable (to the fullest extent permitted by applicable Law) and shall terminate automatically upon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Seller shall promptly notify Buyer in writing if any Support Agreement is revoked, terminated, breached or otherwise rendered ineffective for any reason, and shall use its best efforts to promptly cure any such revocation, termination, breach or ineffectiveness. Seller shall not, without Buyer’s prior written consent, amend, modify, waive or terminate any Support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Share Reservation</w:t>
      </w:r>
      <w:r>
        <w:rPr>
          <w:rFonts w:ascii="Times New Roman;Times;Serif" w:hAnsi="Times New Roman;Times;Serif"/>
          <w:b w:val="false"/>
          <w:i w:val="false"/>
          <w:caps w:val="false"/>
          <w:smallCaps w:val="false"/>
          <w:sz w:val="20"/>
        </w:rPr>
        <w:t>. Seller shall, at all times during the period commencing on the date of this Agreement and ending on the earlier of (x) the issuance of the AV Conversion Shares in accordance with Section 6.9(i) or (y) the valid termination of this Agreement in accordance with Article 8, reserve and keep available out of its authorized and unissued shares of Common Stock, solely for the purpose of issuance upon conversion of the AV Preferred Stock, a number of shares of Common Stock not less than the aggregate number of shares of Common Stock issuable to American Ventures LLC Series XXIV XWELL upon conversion of the AV Preferred Stock at the Increased Maximum Percentage (as defined in the AV Support Agreement). Seller shall not take any action that would cause the number of authorized and unissued shares of Common Stock to be insufficient to satisfy its obligations under this Section 6.9(h).</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AV Conversion Shares</w:t>
      </w:r>
      <w:r>
        <w:rPr>
          <w:rFonts w:ascii="Times New Roman;Times;Serif" w:hAnsi="Times New Roman;Times;Serif"/>
          <w:b w:val="false"/>
          <w:i w:val="false"/>
          <w:caps w:val="false"/>
          <w:smallCaps w:val="false"/>
          <w:sz w:val="20"/>
        </w:rPr>
        <w:t>. Upon receipt by Seller of a notice of conversion from American Ventures LLC Series XXIV XWELL in accordance with the AV Certificate of Designations, Seller shall, within one (1) Business Day of receipt of such notice, issue to American Ventures LLC Series XXIV XWELL the AV Conversion Shares, by crediting such shares to American Ventures LLC Series XXIV XWELL’s account through the facilities of The Depository Trust Company (or, if such delivery is not available, by delivering to American Ventures LLC Series XXIV XWELL a certificate or certificates representing the AV Conversion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Record Date Following Conversion</w:t>
      </w:r>
      <w:r>
        <w:rPr>
          <w:rFonts w:ascii="Times New Roman;Times;Serif" w:hAnsi="Times New Roman;Times;Serif"/>
          <w:b w:val="false"/>
          <w:i w:val="false"/>
          <w:caps w:val="false"/>
          <w:smallCaps w:val="false"/>
          <w:sz w:val="20"/>
        </w:rPr>
        <w:t>. Seller shall establish a record date for the Stockholder Meeting that is no earlier than one (1) Business Day after the issuance of the AV Conversion Shares pursuant to Section 6.9(i).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Cooperation with American Ventures LLC Series XXIV XWELL</w:t>
      </w:r>
      <w:r>
        <w:rPr>
          <w:rFonts w:ascii="Times New Roman;Times;Serif" w:hAnsi="Times New Roman;Times;Serif"/>
          <w:b w:val="false"/>
          <w:i w:val="false"/>
          <w:caps w:val="false"/>
          <w:smallCaps w:val="false"/>
          <w:sz w:val="20"/>
        </w:rPr>
        <w:t>. Seller shall take, or cause to be taken, all actions and do, or cause to be done, all things reasonably necessary, proper or advisable to facilitate American Ventures LLC Series XXIV XWELL’s performance of its obligations under the AV Support Agreement, including (i) promptly acknowledging and processing any blocker election notice delivered by American Ventures LLC Series XXIV XWELL pursuant to the AV Certificate of Designations, (ii) taking all steps necessary within Seller’s control to give effect to the increase in the Maximum Percentage (as defined in the AV Certificate of Designations) in accordance with the AV Certificate of Designations, and (iii) otherwise cooperating with American Ventures LLC Series XXIV XWELL to enable the timely issuance of the AV Conversion Shares in accordance with Section 6.9(i) and the AV Certificate of Designations.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Non-Interference; No Redemption</w:t>
      </w:r>
      <w:r>
        <w:rPr>
          <w:rFonts w:ascii="Times New Roman;Times;Serif" w:hAnsi="Times New Roman;Times;Serif"/>
          <w:b w:val="false"/>
          <w:i w:val="false"/>
          <w:caps w:val="false"/>
          <w:smallCaps w:val="false"/>
          <w:sz w:val="20"/>
        </w:rPr>
        <w:t>. During the period commencing on the date of this Agreement and ending on the earlier of (x) the issuance of the AV Conversion Shares in accordance with Section 6.9(i) or (y) the valid termination of this Agreement in accordance with Article 8, Seller shall not, directly or indirectly, (i) amend, modify, waive, or terminate any provision of the AV Certificate of Designations in a manner that would (A) reduce the number of AV Conversion Shares issuable to American Ventures LLC Series XXIV XWELL upon conversion of the AV Preferred Stock, (B) impair, restrict, or delay American Ventures LLC Series XXIV XWELL’s right to convert the AV Preferred Stock at the Increased Maximum Percentage, or (C) alter or modify the Maximum Percentage mechanics in a manner adverse to American Ventures LLC Series XXIV XWELL, (ii) exercise, or permit to be exercised, any redemption, repurchase, or call right with respect to the AV Preferred Stock under the AV Certificate of Designations or otherwise, or (iii) take any action (including any issuance of equity securities or rights to acquire equity securities, declaration or payment of any dividend payable in equity securities, recapitalization, reclassification, stock split, reverse stock split, or combination of shares) that would trigger any anti-dilution adjustment, conversion rate adjustment, or other structural adjustment to the terms of the AV Preferred Stock under the AV Certificate of Designations that would alter the number of shares of Common Stock into which the AV Preferred Stock is convertible as of the Conversion Eligibility Date.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i/>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From and after the Closing, Seller shall, and shall cause each of its controlled Affiliates and representatives who have been furnished any confidential information of the Company Group to, not disclose, and shall treat and hold as strictly confidential, all such information and refrain from using any such information other than (i) for the benefit of the Company Group as an employee or consultant thereof after the Closing Date, (ii) as otherwise expressly permitted by this Agreement or in writing by Buyer, (iii) to exercise or enforce Seller’s rights under, or otherwise in connection with any claims, demands, causes of action and Losses by or against Seller relating to, this Agreement or any agreement entered into in connection herewith, or (iv) to the extent required by applicable Law (including in connection with preparing Tax Returns or dealings with tax authorities) or the rules of any applicable securities exchange. In the event that Seller or any of Seller’s Affiliates or representatives is required by any Governmental Authority or compulsory legal process to disclose any confidential information of the Company Group, Seller shall, to the extent permissible by Law, notify Buyer as promptly as reasonably practicable so that Buyer may (at its sole cost and expense) seek an appropriate protective order or waive compliance with the provisions of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If, in the absence of a protective order or the receipt of a waiver hereunder, Seller or any of Seller’s Affiliates or representatives is legally required to disclose any confidential information of the Company Group, Seller may disclose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use commercially reasonable efforts to request assurance that confidential treatment shall be accorded to such information required to be disclosed. Notwithstanding the foregoing, for purposes of this Agreement, confidential information of the Company Group shall not include (i) information which is or becomes generally available to the public other than as a result of a disclosure by Seller or any Affiliates or representatives of Seller in violation of this Agreement or other confidentiality obligation to which any of them is bound, (ii) information that becomes available to Seller on a non-confidential basis from a third-party source, provided that such third party, to Seller’s knowledge is not and was not prohibited from disclosing such information to Seller by a legal, fiduciary, or contractual obligation to the Company Group, or (iii) information that was known by or in the possession of Seller or its representatives before their respective involvement with the Company Group. Nothing in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is intended to conflict with 18 U.S.C. § 1833(b) or create Liability for disclosures of trade secrets that are expressly allowed by 18 U.S.C. § 1833(b). Accordingly, Seller has the right to disclose in confidence trade secrets to federal, state, and local governments officials, or to an attorney, for the sole purpose of reporting or investigating a suspected violation of law, and to disclose trade secrets in a document filed in a lawsuit or other Proceeding, but only if the filing is made under seal and protected from public disclosure.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the period commencing on the Closing Date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Seller shall not, and shall cause its controlled Affiliates not to, either alone or in conjunction with any other Person, directly or indirectly, invest or own any interest in, manage, control, participate in (whether as an operator, consultant, director, employee, agent, representative or otherwise), consult with, render services for, or otherwise engage in or knowingly assist others in engaging in any business or entity that competes with the Business as conducted as of the Closing Date within (i) any state, county, municipality, city, or other jurisdiction or locale in the United States or (ii) anywhere else in the world. For the avoidance of doubt, nothing in this Agreement shall prohibit any current or former officers, directors or employees of Seller or any of its Affiliates from independently seeking or accepting employment with any business or entity that competes with the Business; provided, however, that nothing in this sentence shall be construed to permit Seller or any of its controlled Affiliates to encourage, solicit, facilitate, or otherwise assist any such officer, director or employee in seeking or obtaining such employment, and any such officer, director or employee must independently seek such employment without any encouragement, facilitation, or assistance from Seller or any of its controlled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During the Restricted Period, Seller shall not, and shall cause its Affiliates not to, either alone or in conjunction with any other Person, directly or indirectly, (i) (x) solicit or induce or attempt to solicit or induce any employee of the Company Group (A) who was employed by the Company Group as of the Closing Date and (B) who is employed by the Company Group at the time of such solicitation, encouragement or inducement (collectively, the “</w:t>
      </w:r>
      <w:r>
        <w:rPr>
          <w:rFonts w:ascii="Times New Roman;Times;Serif" w:hAnsi="Times New Roman;Times;Serif"/>
          <w:b w:val="false"/>
          <w:i w:val="false"/>
          <w:caps w:val="false"/>
          <w:smallCaps w:val="false"/>
          <w:sz w:val="20"/>
          <w:u w:val="single"/>
        </w:rPr>
        <w:t>Protected Persons</w:t>
      </w:r>
      <w:r>
        <w:rPr>
          <w:rFonts w:ascii="Times New Roman;Times;Serif" w:hAnsi="Times New Roman;Times;Serif"/>
          <w:b w:val="false"/>
          <w:i w:val="false"/>
          <w:caps w:val="false"/>
          <w:smallCaps w:val="false"/>
          <w:sz w:val="20"/>
        </w:rPr>
        <w:t xml:space="preserve">”) to leave the employ of the Company Group and their respective Affiliates, or knowingly interfere adversely with the relationship between the Company Group and any such Protected Person , or (y) hire or engage any Protected Person whose employment or engagement with the Company Group was voluntarily terminated within the six (6) month period preceding such hire or engagement;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Seller from making a general solicitation for employment that is not directly targeted at any Protected Person so long as such Protected Person is not offered employment or engagement or hired or engaged, (ii) solicit or induce or attempt to solicit or induce any customer, supplier, licensor, licensee, lessor or other material business relation of the Company Group as of the Closing (each, a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to cease from doing business with, or otherwise modify adversely, the business done with, the Company Group or (iii) knowingly interfere with the relationship (or prospective relationship) between any Business Relation and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xml:space="preserve">. From and after the Closing, (i) Seller shall not, and shall cause its controlled Affiliates and its and their respective directors, officers, employees, agents, and representatives not to, directly or indirectly, make any disparaging statements or communications about Buyer, the Company Group or any of their respective employees, equityholders, directors, officers, products or services, and (ii) Buyer shall not, and shall cause its controlled Affiliates and its and their respective directors, officers, employees, agents and representatives not to, directly or indirectly, make any disparaging public statements or communications about the Seller or any of its employees, directors, officers, products or services. Notwithstanding the foregoing, this </w:t>
      </w:r>
      <w:r>
        <w:rPr>
          <w:rFonts w:ascii="Times New Roman;Times;Serif" w:hAnsi="Times New Roman;Times;Serif"/>
          <w:b w:val="false"/>
          <w:i w:val="false"/>
          <w:caps w:val="false"/>
          <w:smallCaps w:val="false"/>
          <w:sz w:val="20"/>
          <w:u w:val="single"/>
        </w:rPr>
        <w:t>Section 6.10(d)</w:t>
      </w:r>
      <w:r>
        <w:rPr>
          <w:rFonts w:ascii="Times New Roman;Times;Serif" w:hAnsi="Times New Roman;Times;Serif"/>
          <w:b w:val="false"/>
          <w:i w:val="false"/>
          <w:caps w:val="false"/>
          <w:smallCaps w:val="false"/>
          <w:sz w:val="20"/>
        </w:rPr>
        <w:t xml:space="preserve"> shall not prohibit (i) any truthful statements made in connection with any litigation between Buyer or any of its Affiliates, on the one hand, and Seller or its Affiliates, on the other hand, (ii) any Person from testifying truthfully as a witness in any court proceeding or governmental investigation, (iii) engaging in any conduct which by applicable Law cannot be subject to such a covenant not to disparage, or (iv) exercising or enforcing a party’s rights under, or otherwise in connection with any claims by or against such party relating to, this Agreement or any other Transaction Documents entered into by parties in connection with the transactions contemplated hereby or thereby.</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Each party hereto acknowledges and agrees that money damages would not be an adequate remedy for any breach or threatened breach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 such event, the non-breaching party and its Affiliates shall, in addition to any other rights and remedies existing in their favor, be entitled to seek specific performance, injunctive or other equitable relief from any court of competent jurisdiction in order to enforce or prevent any violations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(including the extension of the Restricted Period by a period equal to the length of the Action necessary to stop such violation), in each case, without the posting of any bond or other security and without having to demonstrate irreparable harm. In the event of any breach or violation by any party of any of the covenants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the time period of such covenant with respect to such party will be tolled and will not run until such breach or violation is resolved.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xml:space="preserve">. Seller acknowledges that Seller has and will have sufficient knowledge of the Company Group’s trade secrets and other confidential information that, if Seller were to engage in any business that competes with the Businesses during the Restricted Period, the Seller would cause irreparable harm to the Company Group (including a significant loss of goodwill by Buyer) for which money damages would be an insufficient remedy. Further, Seller acknowledges that (i) the value of the Company Group’s trade secrets and other confidential information arises in part from the fact that such information is not generally known in the marketplace, (ii) the Company Group’s trade secrets and other confidential information will have continuing vitality after the Closing (including throughout and beyond the Restricted Period),(iii) the covenants and other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additional consideration for the agreements of Buyer pursuant to this Agreement and were a material inducement to Buyer to enter into this Agreement, perform its obligations hereunder and approve the transactions contemplated hereby and Buyer and its Affiliates would not obtain the benefit of the bargain set forth in this Agreement as specifically negotiated by the parties if Seller breached the provisions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(iv) the restrictions contained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reasonable in all respects (including, with respect to subject matter, time period and geographical area, as applicable to Seller) and are necessary to protect Buyer’s interest in, and the value of, the Company Group (including the goodwill inherent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If, at the time of enforcement of any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a court of competent jurisdiction determines that the restrictions stated herein are overbroad or unreasonable as to duration, scope of restriction or geographic area under the circumstances then existing, then the maximum period, scope or geographical area reasonable under the circumstances shall be substituted for the stated period, scope or geographical area permitted by law, as determined by such court.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Permitted Activities</w:t>
      </w:r>
      <w:r>
        <w:rPr>
          <w:rFonts w:ascii="Times New Roman;Times;Serif" w:hAnsi="Times New Roman;Times;Serif"/>
          <w:b w:val="false"/>
          <w:i w:val="false"/>
          <w:caps w:val="false"/>
          <w:smallCaps w:val="false"/>
          <w:sz w:val="20"/>
        </w:rPr>
        <w:t xml:space="preserve">. Notwithstanding the foregoing, (i) nothing in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will prevent or restrict any Seller or its Affiliates from owning as a passive investment less than two percent (2%) of any class of equity interests of any Person if such securities are listed on any national or regional securities exchange or have been registered under Section 12(g) of the Securities Exchange Act of 1934, and (ii) nothing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will prevent or restrict Seller or any of its Affiliates from: (A) engaging in any activity consented to in writing by Buyer, or (B) performing its obligations, or exercising any of its rights or remedies, under, or otherwise in connection with any claims, demands, causes of action and Losses by or against such Person relating to, this Agreement or any agreement entered into with Buyer or its Affiliates in connection herewith in accordance with the terms hereof or thereof, in each case of clauses (i)-(ii) (and all sub-clauses thereunder), in and of itself and not as a means of circumventing the restrictions and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i/>
          <w:caps w:val="false"/>
          <w:smallCaps w:val="false"/>
          <w:sz w:val="20"/>
        </w:rPr>
        <w:t>Pre-Closing 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Prior to the Closing, Seller and the Companies shall, at Seller’s sole cost and expense (including all transfer taxes, filing fees, recording fees, notarial fees, stamp duties, consent fees, and other costs and expenses incurred in connection with the Pre-Closing Reorganization), obtain all consents, approvals, waivers, and authorizations of any third party (including any Governmental Authority, landlord, licensor, counterparty to any Material Contract, or holder of any Permit) that are required under applicable Law or any Contract to effect the transfers contemplated by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and shall cause: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assets, properties, rights, contracts, Permits, rights in Intellectual Property and other interests used in, held for use in, or necessary for the conduct of the XpresSpa Airport Business and XpresTest Business, including, without limitation, those set forth on </w:t>
      </w:r>
      <w:r>
        <w:rPr>
          <w:rFonts w:ascii="Times New Roman;Times;Serif" w:hAnsi="Times New Roman;Times;Serif"/>
          <w:b w:val="false"/>
          <w:i w:val="false"/>
          <w:caps w:val="false"/>
          <w:smallCaps w:val="false"/>
          <w:sz w:val="20"/>
          <w:u w:val="single"/>
        </w:rPr>
        <w:t>Annex 6.11(a)(i)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that are held by Seller or any of its Affiliates (other than the Company Group) to be transferred, assigned, contributed or otherwise conveyed to XpresSpa and/or XpresTest, as applicable, such that, after giving effect to the Pre-Closing Reorganization and as of the Closing, such Companies shall hold, free and clear of Liens (other than Permitted Liens), all XpresSpa and XpresTest Business Assets and no XpresSpa and XpresTest Business Asset (or any interest therein) shall remain with Seller or any of its Affiliates (other than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“XpresSpa and XpresTest Business Assets” shall not include any assets primarily related to (i) ancillary or corporate general administrative functions that are provided to both (i) the Business and (ii) other businesses of Seller and its Subsidiaries, including (in each case, as and to the extent applicable) finance support, travel and entertainment services, temporary labor services, office supplies services (including copiers and faxes), personal telecommunications services, computer and telecommunications maintenance and support services, energy and utilities services, procurement and supply chain services and arrangements, treasury services, public relations, legal and risk management services, insurance, payroll services, telephone and online connectivity services, accounting services, tax services, internal audit services, executive management services, human resources and employee relations management services, employee benefits services, credit, collections and accounts payable services, property management services, environmental support services, customs and excise services, and any other similar applicable centralized functional organizations (collectively, “</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items may be deleted from Annex 6.11(a)(i) prior to Closing in Buyer’s sole discretion (and, for the avoidance of doubt, any item so deleted shall not constitute an XpresSpa and Xpres Test Business Asset hereunder);</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assets, properties, rights, contracts, Permits, rights in Intellectual Property set forth on </w:t>
      </w:r>
      <w:r>
        <w:rPr>
          <w:rFonts w:ascii="Times New Roman;Times;Serif" w:hAnsi="Times New Roman;Times;Serif"/>
          <w:b w:val="false"/>
          <w:i w:val="false"/>
          <w:caps w:val="false"/>
          <w:smallCaps w:val="false"/>
          <w:sz w:val="20"/>
          <w:u w:val="single"/>
        </w:rPr>
        <w:t>Annex 6.11(a)(ii)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held by any member of the Company Group to be transferred, assigned, contributed or otherwise from the Company Group to Seller or one of its Affiliates (other than the Company Group), such that, after giving effect to the Pre-Closing Reorganization and as of the Closing, no member of the Company Group shall hold any Specified Retained Asset;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equity interests of the entities set forth on </w:t>
      </w:r>
      <w:r>
        <w:rPr>
          <w:rFonts w:ascii="Times New Roman;Times;Serif" w:hAnsi="Times New Roman;Times;Serif"/>
          <w:b w:val="false"/>
          <w:i w:val="false"/>
          <w:caps w:val="false"/>
          <w:smallCaps w:val="false"/>
          <w:sz w:val="20"/>
          <w:u w:val="single"/>
        </w:rPr>
        <w:t>Annex 6.11(a)(iii)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to be transferred, assigned, contributed or otherwise from the Company Group to Seller or on of its Affiliates (other than the Company Group), such that, after giving effect to the Pre-Closing Reorganization and as of the Closing, no member of the Company Group shall own any equity interest in any Retained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pursuant to assignment, distribution, contribution or other agreements in form and substance acceptable to Buyer executed in connection therewith and effective as of the Closing (collectively, the “</w:t>
      </w:r>
      <w:r>
        <w:rPr>
          <w:rFonts w:ascii="Times New Roman;Times;Serif" w:hAnsi="Times New Roman;Times;Serif"/>
          <w:b w:val="false"/>
          <w:i w:val="false"/>
          <w:caps w:val="false"/>
          <w:smallCaps w:val="false"/>
          <w:sz w:val="20"/>
          <w:u w:val="single"/>
        </w:rPr>
        <w:t>Assignment and Transfer Documents</w:t>
      </w:r>
      <w:r>
        <w:rPr>
          <w:rFonts w:ascii="Times New Roman;Times;Serif" w:hAnsi="Times New Roman;Times;Serif"/>
          <w:b w:val="false"/>
          <w:i w:val="false"/>
          <w:caps w:val="false"/>
          <w:smallCaps w:val="false"/>
          <w:sz w:val="20"/>
        </w:rPr>
        <w:t xml:space="preserve">”) (such transactions contemplated in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provided that each transfer, assignment, contribution, or other conveyance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the Pre-Closing Reorganization shall be conditioned upon the occurrence of the Closing and the satisfaction of all other conditions required thereto (including the receipt of the requisite Reorganization Consents). Seller shall, and shall cause its Affiliates to, use best efforts to take all actions necessary or advisable to obtain all Reorganization Consents and to execute and deliver all Assignment and Transfer Documents and such other instruments, agreements, and documents as may be required to effect the Pre-Closing Reorganization, in each case at Seller’s sole cost and expense. Without limiting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if Buyer (at its option and in its sole discretion) waives the requirement of any Reorganization Consent to be obtained by the Closing Date, then (x) Seller shall use its best efforts to obtain such Reorganization Consent as promptly as practicable thereafter, and (y) Seller shall, at Seller’s sole cost and expense, implement such alternative arrangements as are reasonably acceptable to Buyer to ensure that Buyer receives the full economic benefit of the applicable asset, right, or property pending receipt of such Reorganization Consent, including by entering into sub-license, sub-lease, agency, or other back-to-back arrangements with the applicable member of the Company Group or Buyer.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the Companies shall provide Buyer all proposed material documentation relating to the Pre-Closing Reorganization (including all Assignment and Transfer Documents, all Reorganization Consents, and all other instruments and agreements executed in connection therewith) no later than five (5) Business Days prior to the anticipated Closing Date and shall allow Buyer a reasonable amount of time to review and comment on such documentation. Seller and the Companies shall consider in good faith Buyer’s reasonable comments prior to consummating the Pre-Closing Reorganization.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after the date of this Agreement until the completion of the Pre-Closing Reorganization (and, to the extent any transfer contemplated by the Pre-Closing Reorganization has not been completed as of the Closing Date, from and after the Closing Date until such transfer is completed), Seller shall, and shall cause its Affiliates to, at Seller’s sole cost and expense: (i) take all further actions, execute and deliver all further instruments and documents, and do all further things as Buyer may reasonably request in order to carry out the intent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to vest in the applicable member of the Company Group good and valid title to, or a valid leasehold or licensed interest in, all assets, properties, rights, contracts, Permits, and rights in Intellectual Property required to be transferred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free and clear of all Liens other than Permitted Liens; (ii) use its best efforts to obtain any Reorganization Consent that has not been obtained as of the Closing Date; (iii) promptly notify Buyer in writing upon becoming aware of any fact, circumstance, or development that would reasonably be expected to prevent, delay, or impair the completion of the Pre-Closing Reorganization or the obtaining of any Reorganization Consent; and (iv) bear and pay all costs and expenses (including all transfer taxes, filing fees, recording fees, notarial fees, stamp duties, consent fees, and reasonable and documented out-of-pocket legal fees and expenses) incurred in connection with the Pre-Closing Reorganization and any post-Closing corrective transfers or alternative arrangements implemented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without any right of reimbursement from Buyer or any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i/>
          <w:caps w:val="false"/>
          <w:smallCaps w:val="false"/>
          <w:sz w:val="20"/>
        </w:rPr>
        <w:t>Wrong Pockets.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within three (3) years after the Closing, Seller or any of its Affiliates receives, holds, or controls (i) any asset, right or property that constitutes property of the Company Group following the Closing, or (ii) any payment, proceeds, revenue, or other amount to the extent attributable to the Business, the assets of the Company Group, or the operation thereof on or after the Closing Date (including any amount that is mistakenly paid to or collected by a Seller or its Affiliate in connection with a Business customer, contract, or account, but excluding, for the avoidance of doubt, any such asset, right, property, payment, proceeds, revenue or other amount to the extent attributable to the Retained Ex-Airport Business), Seller shall, and shall cause its applicable Affiliate to, (A) hold such asset, property, or amount for the benefit of Buyer, (B) promptly (and in any event within five (5) Business Days of receipt or identification by Seller) remit, transfer, or deliver such asset, property, or amount (without set-off, deduction, or condition) to Buyer or, at Buyer’s direction, a member of the Company Group, and (C) take all such further actions (which shall include the execution of all necessary instruments and documents) as Buyer may reasonably request and at ‘Seller’s sole expense to vest full right, title, and interest in such asset, property, or amount in Buyer or a member of the Company Group. For the avoidance of doubt, Seller shall not be required to transfer such asset, property, or amount pending resolution of any good faith dispute regarding whether such asset, property, or amount is required to be remitted, transferred, or delivered pursuant to this Section.</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i/>
          <w:caps w:val="false"/>
          <w:smallCaps w:val="false"/>
          <w:sz w:val="20"/>
        </w:rPr>
        <w:t>Notice of Certain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from the date of this Agreement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Buyer, on the one hand, and any Company and Seller, on the other hand, shall as promptly as reasonably practicable notify the other(s) in writing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written notice or other written communication from any Governmental Authority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such party of any covenant of such party under this Agreement of which it becomes aware;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Actions commenced or, to the Knowledge of such party(ies), threatened against, relating to or involving or otherwise affecting such party(ies) that (A) relate to the transactions contemplated hereby or (B) would otherwise, or would be reasonably expected to, adversely affect or prevent, enjoin or delay such party’s or parties’ (as applicable) ability to consummate the Closing or perform its or their obligations hereunder if resolved in a manner adverse to such party(ies);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written notice or other written communication from any Person alleging that the consent of such Person is or may be required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i/>
          <w:caps w:val="false"/>
          <w:smallCaps w:val="false"/>
          <w:sz w:val="20"/>
        </w:rPr>
        <w:t>Employee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reasonably practicable after the date hereof, and unless prohibited by law, the Seller shall take such actions as may be necessary to transfer the employment of each employee of Seller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from Seller to one of the Companies with effect from the Closing Date on the same terms as such employee’s then existing terms of employment with Seller (but excluding any equity-based compensation). To the extent that the Seller employees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are not effectively transferred to one of the Companies prior to the Closing as contemplated by the preceding sentence, then Buyer or one of its Affiliates shall offer employment to each such employee on terms consistent with the obligations under Section 6.14(b) hereof, effective as of the Closing Date and conditioned on such employee satisfactorily completing the Buyer’s or its Affiliate’s standard hiring and background check procedures.  Each such offer of employment made by Buyer or its Affiliates pursuant to the foregoing shall be contingent on the occurrence of the Closing and shall be made in a manner consistent with applicable Law and provide for employment commencing on the Closing Date on such terms and conditions as are reasonably determined in the good-faith discretion of Buyer or its Affiliates.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no less than twelve (12) months following the Closing, Buyer shall provide or cause to be provided to the employees of the Companies who continue to be employed by Buyer or its Affiliates following the Closing (the “</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(i) base salary and bonus opportunity that is no less than the base salary and bonus opportunity in effect immediately prior to the Closing and (ii) employee benefits (other than equity compensation, pension benefits, retiree health and welfare benefits, change in control benefits and nonqualified deferred compensation benefits) that are substantially similar in the aggregate to those provided by the Companies immediately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terms of the employment agreements delivered at the Closing by the Persons named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 xml:space="preserve"> shall supersede any obligation of the Company set forth in this S</w:t>
      </w:r>
      <w:r>
        <w:rPr>
          <w:rFonts w:ascii="Times New Roman;Times;Serif" w:hAnsi="Times New Roman;Times;Serif"/>
          <w:b w:val="false"/>
          <w:i w:val="false"/>
          <w:caps w:val="false"/>
          <w:smallCaps w:val="false"/>
          <w:sz w:val="20"/>
          <w:u w:val="single"/>
        </w:rPr>
        <w:t>ection 6.14(b)</w:t>
      </w:r>
      <w:r>
        <w:rPr>
          <w:rFonts w:ascii="Times New Roman;Times;Serif" w:hAnsi="Times New Roman;Times;Serif"/>
          <w:b w:val="false"/>
          <w:i w:val="false"/>
          <w:caps w:val="false"/>
          <w:smallCaps w:val="false"/>
          <w:sz w:val="20"/>
        </w:rPr>
        <w:t>. The preceding sentence shall not preclude Buyer or its Affiliates at any time following the Closing from terminating the employment of any Continuing Employee for any reason (or no reason).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Continuing Employee shall be given credit for all service with the Companies under any employee benefit plan of Buyer or its Affiliates, including any such plans providing vacation, sick pay, severance and retirement benefits maintained by Buyer or its Affiliates in which such Continuing Employee participates for purposes of eligibility, vesting and entitlement to benefits, including for severance benefits and vacation entitlement (but not for accrual of pension benefits), to the extent past service was recognized for such Continuing Employee under the comparable Seller Benefit Plans or Company Benefit Plans immediately prior to the Closing, and to the same extent past service is credited under such plans or arrangements for similarly situated employees of Buyer. Notwithstanding the foregoing, nothing in this </w:t>
      </w:r>
      <w:r>
        <w:rPr>
          <w:rFonts w:ascii="Times New Roman;Times;Serif" w:hAnsi="Times New Roman;Times;Serif"/>
          <w:b w:val="false"/>
          <w:i w:val="false"/>
          <w:caps w:val="false"/>
          <w:smallCaps w:val="false"/>
          <w:sz w:val="20"/>
          <w:u w:val="single"/>
        </w:rPr>
        <w:t>Section 6.14(c)</w:t>
      </w:r>
      <w:r>
        <w:rPr>
          <w:rFonts w:ascii="Times New Roman;Times;Serif" w:hAnsi="Times New Roman;Times;Serif"/>
          <w:b w:val="false"/>
          <w:i w:val="false"/>
          <w:caps w:val="false"/>
          <w:smallCaps w:val="false"/>
          <w:sz w:val="20"/>
        </w:rPr>
        <w:t xml:space="preserve"> shall be construed to require crediting of service that would result in (i) a duplication of benefits, (ii) service credit for benefit accruals under a defined benefit pension plan, or (iii) service credit under a newly established plan for which prior service is not taken into account for employees of Buyer and its Affiliates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change in the welfare benefits provided to Continuing Employees following the Closing, Buyer shall use commercially reasonable efforts to cause (i) the waiver of all limitations as to pre-existing conditions, exclusions and waiting periods with respect to participation and coverage requirements applicable to the Continuing Employees under any such welfare benefit plans to the extent that such conditions, exclusions or waiting periods would not apply in the absence of such change, and (ii) for the plan year in which the Closing occurs, the crediting of each Continuing Employee with any co-payments, deductibles and out-of-pocket expenses paid prior to any such change in satisfying any applicable co-payment, deductible or out-of-pocket requirements after such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administratively practicable following the Closing, Buyer or one of its Affiliates shall (i) permit all Continuing Employees who participated in a 401(k) retirement plan sponsored by the Seller or one of its Affiliates (a “</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to be eligible to participate in a 401(k) retirement plan sponsored by Buyer or one of its Affiliates (a “</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and (ii) permit all such Continuing Employees to elect to effect a “direct rollover” (as described in Section 401(a)(31) of the Code) of their account balance (in cash, and including any outstanding loan promissory notes) from any Seller 401(k) Plan to a Buyer 401(k) Plan. Effective as of the Closing Date, such Continuing Employees shall become fully vested in such Continuing Employees’ account balance under any Seller 401(k) Plan (including any employer contributions).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hereby releases and waives, and agrees to cause each of its respective Affiliates to release and waive, the right to enforce any covenant regarding noncompetition, nonsolicitation of employees and nonsolicitation of customers for the Seller’s or any of its Affiliates’ benefit that would prohibit, limit or restrict any Continuing Employee from performing any of their duties for the Companies to the extent operated by Buyer or its Affiliates on or following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to the contrary, nothing contained herein, whether express or implied, shall be treated as an amendment or other modification of any Company Benefit Plan or employee benefit plan of Buyer or its Affiliates, or shall limit the right of Buyer to amend, terminate or otherwise modify any Company Benefit Plan or employee benefit plan of Buyer or its Affiliates following the Closing. The parties hereto acknowledge and agree that all provisions contained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are included for the sole benefit of the parties hereto, and that nothing in this Agreement, whether express or implied, shall create any third party beneficiary or other rights (i) in any other Person, including, without limitation, any employees or former employees of the Companies, any Continuing Employee, any participant in any Seller Benefit Plan, any Company Benefit Plan or any employee benefit plan of Buyer or its Affiliates, or any dependent or beneficiary thereof, or (ii) to continued employment with Buyer or any of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i/>
          <w:caps w:val="false"/>
          <w:smallCaps w:val="false"/>
          <w:sz w:val="20"/>
        </w:rPr>
        <w:t>Compliance with Arbitration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Closing, Seller and the Company Group shall use reasonable best efforts to take such actions as are required by that certain Final Arbitration Award issued by Hon. J Antonio DelCampo on June 3, 2026 with respect to the dispute between XpresSpa Holdings, LLC, on the one hand, and Cordial Endeavor Concessions of Atlanta LLC and Sheila Trappier Edwards, on the other hand (the “</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including, without limitation: (i) identifying a qualified replacement ACDBE partner for the Atlanta Terminal A and Atlanta Terminal C locations of the XpresSpa Airport Business and entering into appropriate documentation to establish replacement joint venture entities with such replacement ACDBE partner, (ii) entering into new lease and concessions agreements with respect to the Atlanta Terminal A and Atlanta Terminal C locations, on terms not materially less advantageous to the Company Group than such agreements in effect as of the date hereof, (iii) obtaining requisite approvals from the City of Atlanta, the Federal Aviation Administration, and any other applicable Person with respect to the dissolution of XpresSpa Atlanta Terminal A, LLC and XpresSpa Atlanta Terminal C, LLC, and, upon receipt of all such requisite approvals, dissolving such entities, and (iv) making all payments required to be made by the Company Group under the Atlanta Arbitration Award. Seller and the Company Group shall keep Buyer reasonably apprised of all actions being taken under or in connection with the orders under the Final Arbitration Award, and shall provide Buyer an opportunity to review any written agreements proposed to be entered into by the Companies or any of their respective direct or indirect subsidiaries in connection therewith.</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following, the Closing, the Companies or their respective direct or indirect subsidiaries incur or are otherwise obligated to pay any costs or expenses related to, arising from, or in connection with compliance with the Atlanta Arbitration Award or any predecessor contract, agreement, arrangement, or settlement with Cordial Endeavor Concessions of Atlanta LLC and/or Sheila Trappier Edwards (such costs or expenses, “Post-Closing Atlanta Arbitration Expenses”), Buyer and Seller shall promptly instruct the Escrow Agent to release from the Atlanta Escrow Account to Buyer (or, at Buyer’s direction, any member of the Company Group), a dollar amount equal to such Post-Closing Atlanta Arbitration Expenses. On the earlier of (i) the twelve month anniversary of the Closing Date and (ii) such time when the Buyer and Seller shall have reasonably determined (acting in good faith) that all actions required by the Atlanta Arbitration Award have been taken and all Post-Closing Atlanta Arbitration Expenses have been paid, Buyer and Seller shall promptly instruct the Escrow Agent to release to Seller any amounts then remaining in the Atlanta Escrow Account which are not needed to reimburse Buyer and or the Group Companies for any Post-Closing Atlanta Arbitration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i/>
          <w:caps w:val="false"/>
          <w:smallCaps w:val="false"/>
          <w:sz w:val="20"/>
        </w:rPr>
        <w:t>Change of Name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(but subject to the 30-day transition period referred to in the following sentence), Seller shall, and shall cause its subsidiaries and Affiliates to, (a) cease any and all use of the Trademarks XPRESSPA, XPRESTEST, XWELL and any other Trademark used in the Business (each an “</w:t>
      </w:r>
      <w:r>
        <w:rPr>
          <w:rFonts w:ascii="Times New Roman;Times;Serif" w:hAnsi="Times New Roman;Times;Serif"/>
          <w:b w:val="false"/>
          <w:i w:val="false"/>
          <w:caps w:val="false"/>
          <w:smallCaps w:val="false"/>
          <w:sz w:val="20"/>
          <w:u w:val="single"/>
        </w:rPr>
        <w:t>Acquired Trademark</w:t>
      </w:r>
      <w:r>
        <w:rPr>
          <w:rFonts w:ascii="Times New Roman;Times;Serif" w:hAnsi="Times New Roman;Times;Serif"/>
          <w:b w:val="false"/>
          <w:i w:val="false"/>
          <w:caps w:val="false"/>
          <w:smallCaps w:val="false"/>
          <w:sz w:val="20"/>
        </w:rPr>
        <w:t>”), (b) permanently refrain from using or displaying any corporate, trade or product name, logo, domain name, social media handle or other identifier that includes any Acquired Trademark, or any Trademark similar to any Acquired Trademark. Within thirty (30) days after the Closing the Seller shall (x) remove, de-brand or destroy (at Buyer’s election) all signage, packaging, labels, marketing collateral, templates, business forms, digital assets and other materials bearing any Acquired Trademarks; and (y) disable or transfer (as directed by Buyer) any domain names, URLs, email addresses, social media accounts or applications incorporating any Acquired Trademark. Seller shall bear all costs of the foregoing and deliver to Buyer, upon request, reasonable evidence of compliance (including destruction certificates, if applicable). The foregoing shall not prohibit good-faith, nominative fair use of “XpresSpa,” “XpresTest,” or “Xwell” solely to describe historical facts or to comply with applicable Law, or retention of archived materials maintained solely for legal, tax or compliance purposes; provided that such materials are not used in the operation or promotion of Seller’s business.</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br/>
        <w:t>CONDITIONS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caps w:val="false"/>
          <w:smallCaps w:val="false"/>
          <w:sz w:val="20"/>
        </w:rPr>
        <w:t>Mutual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each party to consummate the transactions contemplated by this Agreement shall be subject to the fulfillment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Action or Order</w:t>
      </w:r>
      <w:r>
        <w:rPr>
          <w:rFonts w:ascii="Times New Roman;Times;Serif" w:hAnsi="Times New Roman;Times;Serif"/>
          <w:b w:val="false"/>
          <w:i w:val="false"/>
          <w:caps w:val="false"/>
          <w:smallCaps w:val="false"/>
          <w:sz w:val="20"/>
        </w:rPr>
        <w:t>. No Action shall have been commenced by a Person other than the parties hereto or their respective controlled Affiliates, and no Order (including injunction) shall have been issued, enacted or promulgated, by any court or other Governmental Authority of competent jurisdiction, that would reasonably be expected to prevent, delay or impede, or that otherwise makes illegal, the consummation of the transactions contemplated in this Agreement or another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Stockholder Approval shall have been obtained in accordance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caps w:val="false"/>
          <w:smallCaps w:val="false"/>
          <w:sz w:val="20"/>
        </w:rPr>
        <w:t>Conditions to the Obligations of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Buyer to consummate the transactions contemplated by this Agreement shall be subject to the fulfillment prior to or at Closing of each of the following conditions, any and all of which may be waived, in whole or in part, by Buyer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in all respects, both as of the date of this Agreement and as of the Closing Date as though such representations and warranties were made again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both as of the date of this Agreement and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result in a Material Adverse Effect, and (iii) Seller and each Company shall have performed or complied with, in all material respects (without duplication of any materiality qualifier contained therein), all of the covenants and obligations which are to be performed by it under the terms of this Agreement at or prior to the Closing (including pursuant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Seller and each Company shall have delivered to Buyer a certificate signed by an authorized officer of such Person, dated the Closing Date, to the effect that the conditions specified in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Seller and the Companies shall have delivered to Buyer all of the items contemplated under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(i) Seller and the Companies shall have delivered to Buyer all of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 and (ii) Seller and the Companies shall have obtained and delivered to Buyer each Required Lease Consent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in each case in form and substance reasonably satisfactory to Buyer, and no Required Lease Consent shall have been revoked, withdrawn, or made subject to any condition or modification that is materially adverse to Buyer or any member of the Company Group as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From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The Pre-Closing Reorganization shall have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Buyer shall have received evidence, in form and substance reasonably satisfactory to Buyer, of the consummation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As of the Closing, the Company Group shall hold (i) Cash and Cash Equivalents in bank accounts owned by the Company Group across all jurisdictions in an aggregate amount not less than the Minimum Cash Amount, and (ii) Cash and Cash Equivalents in bank accounts owned by the Company Group in each non-U.S. jurisdiction in an aggregate amount not less than the Ex-U.S. Minimum Cash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caps w:val="false"/>
          <w:smallCaps w:val="false"/>
          <w:sz w:val="20"/>
        </w:rPr>
        <w:t>Conditions to the Obligations of Seller and the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Seller and the Companies to consummate the transactions contemplated by this Agreement shall be subject to the fulfillment at or prior to the Closing of each of the following conditions, any and all of which may be waived in whole or in part by Seller and the Companies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in all respects as of the Closing Date as though such representations and warranties were made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prevent, materially delay or impede Buyer’s consummation of the transactions contemplated hereby, and (iii) Buyer shall have performed or complied with, in all material respects (without duplication of any materiality qualifier contained therein), all of the covenants and obligations which are to be performed by it under the terms of this Agreement at or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Buyer shall have delivered to Seller and the Companies a certificate, signed by an authorized officer of Buyer, dated the Closing Date, to the effect that the conditions specified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Buyer shall have delivered to Seller and the Companies (or such other Person) all of the items contemplated under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caps w:val="false"/>
          <w:smallCaps w:val="false"/>
          <w:sz w:val="20"/>
        </w:rP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Sale may be abandoned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Seller or Buyer, if the Sale shall not have been consummated before the one hundred eightieth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hereof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unless extended by written agreement of Buyer and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Termination Date shall be automatically extended for up to two additional thirty (30)-day periods if, as of the Termination Date, the sole condition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that have not been satisfied or waived is the condition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(Stockholder Approval); provided, further,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at any time during which such party is in material breach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Seller if (i) there has been a breach by Buyer of any of the representations, warranties, covenants or agreements made by Buyer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(ii) such breach (A) is incapable of being cured, or (B) if curable, shall continue unremedied at least five (5) Business Days following Seller’s delivery of a written notice thereof to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Seller at any time during which Seller or any Company is in material breach of this Agreement such that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Buyer’s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Buyer, if there has been a breach by Seller or any Company of any of the representations, warranties, covenants or agreements made by Seller or any Company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breach (A) is incapable of being cured, or (B) if curable, shall continue unremedied at least five (5) Business Days following Buyer’s delivery of a written notice thereof to Seller or any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Buyer at any time during which Buyer is in material breach of this Agreement such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Seller’s or any Company’s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at any time prior to obtaining the Stockholder Approval, in the event that (i) the board of directors of Seller shall have failed to include the Board Recommendation in the Proxy Statement or shall have effected an Adverse Recommendation Change, (ii) the board of directors of Seller shall have failed to publicly reaffirm the Board Recommendation within five (5) Business Days of Buyer’s written request to make such public reaffirmation, (iii) Seller shall have failed to convene the Stockholder Meeting by the Meeting Backstop Date, (iv) Seller shall have failed to obtain and deliver to Buyer duly executed Support Agreements from all Persons required to execute Support Agreements pursuant to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xml:space="preserve"> within the timeframe required by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or (v) any Support Agreement shall have been revoked, terminated, breached or otherwise rendered ineffective and Seller shall have failed to cure such revocation, termination, breach or ineffectiveness within five (5) Business Days of written notice thereof from Buyer to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Seller, at any time prior to obtaining the Stockholder Approval, in order to enter into a binding acquisition agreement, merger agreement or other similar definitive agreement with respect to a Superior Proposal; provided that Seller pays Buyer the Buyer Termination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Superior Proposal was not solicited in violation of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either Seller or Buyer, if any Governmental Authority shall have issued an Order or taken any other action enjoining or otherwise prohibiting the Sale and such Order shall have become final and non-appealable; unless the failure to consummate the Sale because of such Order shall be primarily due to the failure of Buyer, if Buyer is seeking to terminate this Agreement, or of Seller or any Company, if Seller is seeking to terminate this Agreement, to have fulfilled any of its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either Seller or Buyer, if the Stockholder Meeting (including any postponements and adjournments thereof) shall have concluded without the Stockholder Approval having been obtained by reason of the failure to obtain the required vote of the holders of shares of Seller’s common stock; provided that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will not be available to any party if (x) such party’s action or failure to act (which action or failure to act constitutes a breach by such party of this Agreement) has been the primary cause of, or primarily resulted in, the failure to obtain the Stockholder Approval at the Stockholder Meeting (or any adjournment or postponement thereof) or (y) at such time such party is otherwise in material breach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Seller, if (i)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(and remain)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(ii) Buyer shall have failed to consummate the transactions contemplated by this Agreement by the date on which the Closing should have occurred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(iii) Seller has provided to Buyer written notice stating that (A)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(B) Seller is ready, willing and able to consummate, and will consummate, the Closing as of such date and prior to such termination, and (C) Seller intends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and (iv) Buyer fails to consummate the Closing within five (5) Business Days following such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caps w:val="false"/>
          <w:smallCaps w:val="false"/>
          <w:sz w:val="20"/>
        </w:rPr>
        <w:t>Effect of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hereof, all rights and obligations of the parties hereunder shall terminate and no party shall have any Liability to the other party, except that the obligations of the parties hereto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indemnification and reimbursement obligations of Buyer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each of the defined terms necessary to give effect to the foregoing provisions shall survive the termination of this Agreement. Notwithstanding the foregoing (but subject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will not relieve any party from (i) any Liability arising from or relating to any Willful Breach by such party of any representation, warranty, covenant or agreement of such party prior to such termination, or (ii) for Actual Fraud by such party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caps w:val="false"/>
          <w:smallCaps w:val="false"/>
          <w:sz w:val="20"/>
        </w:rPr>
        <w:t>Buyer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pay to Buyer a fee (the “Buyer Termination Fee”) in an amount equal to the greater of (A) One Million Three Hundred Thousand Dollars ($1,300,000), and (B) the sum of (I) Six Hundred Fifty Thousand Dollars ($650,000) plus (II) all of the reasonable and documented out-of-pocket expenses incurred by Buyer and its Affiliates in connection with this Agreement and the transactions contemplated hereby (provided, that, the amount of such expenses included in this clause (II) shall in no event exceed Two Million Dollars ($2,000,000) if: (i) this Agreement is terminated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(ii) this Agreement is terminated by Buyer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(iii) this Agreement is terminated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the applicable party would be entitled to terminate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(iv) (x) after the date of this Agreement, and prior to the termination of this Agreement, a proposal for an Alternative Transaction shall have been made to Seller, or an intention (whether or not conditional) to make a proposal for an Alternative Transaction was publicly announced or otherwise became publicly known, (y) thereafter, this Agreement is terminated by Buyer or Seller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and (z) within twelve (12) months after such termination, Seller consummates an Alternative Transaction (or enters into a definitive agreement to effect an Alternative Transaction that is subsequently consummated).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Termination Fee payable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(a)(i), </w:t>
      </w:r>
      <w:r>
        <w:rPr>
          <w:rFonts w:ascii="Times New Roman;Times;Serif" w:hAnsi="Times New Roman;Times;Serif"/>
          <w:b w:val="false"/>
          <w:i w:val="false"/>
          <w:caps w:val="false"/>
          <w:smallCaps w:val="false"/>
          <w:sz w:val="20"/>
          <w:u w:val="single"/>
        </w:rPr>
        <w:t>Section 8.3(a)(ii)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8.3(a)(iii)</w:t>
      </w:r>
      <w:r>
        <w:rPr>
          <w:rFonts w:ascii="Times New Roman;Times;Serif" w:hAnsi="Times New Roman;Times;Serif"/>
          <w:b w:val="false"/>
          <w:i w:val="false"/>
          <w:caps w:val="false"/>
          <w:smallCaps w:val="false"/>
          <w:sz w:val="20"/>
        </w:rPr>
        <w:t xml:space="preserve"> shall be paid within ten (10) Business Days after the date of such termination, and the Buyer Termination Fee payable pursuant to </w:t>
      </w:r>
      <w:r>
        <w:rPr>
          <w:rFonts w:ascii="Times New Roman;Times;Serif" w:hAnsi="Times New Roman;Times;Serif"/>
          <w:b w:val="false"/>
          <w:i w:val="false"/>
          <w:caps w:val="false"/>
          <w:smallCaps w:val="false"/>
          <w:sz w:val="20"/>
          <w:u w:val="single"/>
        </w:rPr>
        <w:t>Section 8.3(a)(iv)</w:t>
      </w:r>
      <w:r>
        <w:rPr>
          <w:rFonts w:ascii="Times New Roman;Times;Serif" w:hAnsi="Times New Roman;Times;Serif"/>
          <w:b w:val="false"/>
          <w:i w:val="false"/>
          <w:caps w:val="false"/>
          <w:smallCaps w:val="false"/>
          <w:sz w:val="20"/>
        </w:rPr>
        <w:t xml:space="preserve"> shall be paid upon consummation of the Alternative Transaction referenced therein. All payments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Seller fails to promptly pay any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in order to obtain such payment, Buyer commences a suit that results in a final and non-appealable judgment against Seller, for payment of amounts owed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Seller shall pay to Buyer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Buyer Termination Fee was the subject of arm’s length negotiation between the parties, each represented by independent counsel, (ii) the precise amount of damages that would be suffered by Buyer in the event of a termination giving rise to payment of the Buyer Termination Fee is difficult or impossible to determine with certainty at the time of this Agreement, and (iii) the payment of the amounts specified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not a penalty but is liquidated damages in a reasonable amount that will compensate Buyer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Seller be required to pay the Buyer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Buyer Termination Fee is paid to Buyer in circumstances in which such amount is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any costs, expenses and interest payable by Seller to Buyer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shall constitute the sole and exclusive monetary remedy of Buyer, and its Affiliates and former, current or future stockholders, directors, officers, employees, agents or representatives, against Seller, and its Affiliates and former, current or future stockholders, directors, officers, employees, agents or representatives (“</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neither Seller nor its Related Parties, shall have any further liability or obligation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Buyer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at the time Buyer elects to terminate this Agreement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Buyer would also have been entitled to terminate this Agreement pursuant to one or more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that would independently give rise to the Buyer Termination Fee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Buyer’s election to terminate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deemed a waiver of, or otherwise limit or prejudice, Buyer’s right to receive the Buyer Termination Fee that would have been payable had Buyer elected to terminate pursuant to such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For the avoidance of doubt, the exercise by Buyer of any one termination right available to it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constitute a waiver of any other termination right then available to Buyer or of any remedy (including the Buyer Termination Fee) associated with such other termination right.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While Buyer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under no circumstances shall Buyer be permitted or entitled to receive both (i) a grant of specific performance or other equitable relief that results in the Closing occurred and (ii) the payment of the Buyer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caps w:val="false"/>
          <w:smallCaps w:val="false"/>
          <w:sz w:val="20"/>
        </w:rPr>
        <w:t>Seller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Seller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Buyer shall pay to Seller a fee (the “</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in an amount equal to the greater of (i) One Million Three Hundred Thousand Dollars ($1,300,000) and (ii) the sum of (x) Six Hundred Fifty Thousand Dollars ($650,000)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all of the reasonable and documented out-of-pocket expenses incurred by Seller and its Affiliates in connection with this Agreement and the transactions contemplated thereby (provided, that, the amount of such expenses included in this clause (y) shall in no event exceed Two Million Dollars ($2,000,000).</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Seller Termination Fee shall be paid within ten (10) Business Days after the date of such termination. All payments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Seller in writing at least three (3) Business Days prior to the due date of such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Buyer fails to promptly pay any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in order to obtain such payment, Seller commences a suit that results in a final and non-appealable judgment against Buyer, for payment of amounts owed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then Buyer shall pay to Seller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Seller Termination Fee was the subject of arm’s-length negotiation between the parties, each represented by independent counsel, (ii) the precise amount of damages that would be suffered by Seller in the event of a termination giving rise to payment of the Seller Termination Fee is difficult or impossible to determine with certainty at the time of this Agreement, and (iii) the payment of the Seller Termination Fee is not a penalty, but is liquidated damages in a reasonable amount that will compensate Seller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Buyer be required to pay the Seller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Seller Termination Fee is paid to Seller in circumstances in which such amount is payable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any costs, expenses and interest payable by Buyer to Seller pursuant to </w:t>
      </w:r>
      <w:r>
        <w:rPr>
          <w:rFonts w:ascii="Times New Roman;Times;Serif" w:hAnsi="Times New Roman;Times;Serif"/>
          <w:b w:val="false"/>
          <w:i w:val="false"/>
          <w:caps w:val="false"/>
          <w:smallCaps w:val="false"/>
          <w:sz w:val="20"/>
          <w:u w:val="single"/>
        </w:rPr>
        <w:t>Section 8.4(c)</w:t>
      </w:r>
      <w:r>
        <w:rPr>
          <w:rFonts w:ascii="Times New Roman;Times;Serif" w:hAnsi="Times New Roman;Times;Serif"/>
          <w:b w:val="false"/>
          <w:i w:val="false"/>
          <w:caps w:val="false"/>
          <w:smallCaps w:val="false"/>
          <w:sz w:val="20"/>
        </w:rPr>
        <w:t xml:space="preserve">) shall constitute the sole and exclusive monetary remedy of Seller and its Related Parties against Buyer and its Related Parties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neither Buyer nor its Related Parties, shall have any further liability or obligation (including consequential, indirect or punitive damages, or damages in lieu of specific performance)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Seller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While Seller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under no circumstances shall Seller be permitted or entitled to receive both (i) a grant of specific performance or other equitable relief that results in the Closing occurring and (ii) the payment of the Seller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br/>
        <w:t>SURVIVAL OF REPRESENTATIONS;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caps w:val="false"/>
          <w:smallCaps w:val="false"/>
          <w:sz w:val="20"/>
        </w:rPr>
        <w:t>Survival.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parties hereto, intending to modify any applicable statute of limitations, agrees that (a) the representations and warranties contained in this Agreement and in any certificate delivered hereunder (other than (A) with respect to any Actual Seller Fraud or Actual Buyer Fraud (as applicable), (B) each Fundamental Representation, and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eighteen (18) months after the Closing Date, (b) each Fundamental Representation shall survive the Closing until the date that is seven (7) years after the Closing Date,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sixty (60) days after the expiration of the longest applicable statute of limitations with respect to the matters to which such Taxes relate (including all periods of extension and waiver thereof, whether automatic or permissive), (d) each covenant and agreement set forth herein that require performance prior to the Closing shall survive the Closing for a period expiring on the later of twelve (12) months after the Closing Date and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on which such covenant or agreement is fully performed, and (e) each other covenant and agreement set forth herein shall survive the Closing until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on which such covenant or agreement is fully performed in accordance with its respective terms. Notwithstanding anything to the contrary herein, no claim (whether for breach of contract, tort or pursuant to any other theory of liability) may be brought by any Person following the expiration of the survival periods set forth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Notwithstanding the foregoing, any claims asserted in good faith with reasonable specificity (to the extent known at such time) prior to expiry of the applicable survival period will survive until finally resolved. Notwithstanding anything to the contrary herein, nothing in this Agreement shall limit the right of either party to make a claim against the other party for Actual Fraud, which claims shall survive the Closing indefinitely and without limitation.</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caps w:val="false"/>
          <w:smallCaps w:val="false"/>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Indemnification by Seller</w:t>
      </w:r>
      <w:r>
        <w:rPr>
          <w:rFonts w:ascii="Times New Roman;Times;Serif" w:hAnsi="Times New Roman;Times;Serif"/>
          <w:b w:val="false"/>
          <w:i w:val="false"/>
          <w:caps w:val="false"/>
          <w:smallCaps w:val="false"/>
          <w:sz w:val="20"/>
        </w:rPr>
        <w:t xml:space="preserve">. Subject to the provisions and limitations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from and after the Closing the Seller shall indemnify, defend and hold harmless Buyer and each of its Affiliates (including, following the Closing, the Company Group) and each of their respective officers, directors, managers, equityholders, partners, employees, advisors, agents, representatives, successors and assigns (including the Company Group) (collectively,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from and against, and pay on behalf of or reimburse such Buyer Indemnified Party, for any and all Losses that any such Buyer Indemnified Party (regardless of whether or not such Loss relates to any third party claim) may suffer, sustain or become subject to as a result of or arising out of, directly or indirectly: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Seller or (prior to the Closing) the Company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except that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Required Lease Consents</w:t>
      </w:r>
      <w:r>
        <w:rPr>
          <w:rFonts w:ascii="Times New Roman;Times;Serif" w:hAnsi="Times New Roman;Times;Serif"/>
          <w:b w:val="false"/>
          <w:i w:val="false"/>
          <w:caps w:val="false"/>
          <w:smallCaps w:val="false"/>
          <w:sz w:val="20"/>
        </w:rPr>
        <w:t>) shall not be excluded from this clause (ii) and any breach thereof shall give rise to indemnification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Expenses or Indebtedness of the Company Group, in each case outstanding as of the Closing and to the extent not deducted in the determination of the final Purchase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(1) any Taxes (including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xml:space="preserve">) of any Company and any of their respective Subsidiaries for all Pre-Closing Tax Periods (excluding Taxes that are already taken into account in the calculation of the final Purchase Price (including as a component of Accrued Income Taxes, Indebtedness, Net Working Capital, Sale Expenses, or Closing Cash), unless such amount is the subject of a Tax Contest), (2) any Taxes of the Seller, including any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(3) all Taxes of any member of an affiliated, consolidated, combined or unitary group of which any Company or any of their respective Subsidiaries is or was a member on or prior to the Closing, including pursuant to Treasury Regulations Section 1.1502-6 or any analogous or similar state, local or foreign law, (4) all Taxes of any Person imposed on any Company or any of their respective Subsidiaries for any period as a transferee or successor in respect of any transaction occurring on or prior to the Closing, by law, contract or otherwise, (5) any Taxes related or attributable to the Pre-Closing Reorganization, and (6) without duplication with any of the foregoing, any Tax arising in connection with any item required to be included in taxable income by any Company or any of their respective Subsidiaries under Section 951 or 951A of the Code (or any corresponding or similar state local or non-U.S. Tax Law) for any taxable period, or portion thereof, ending after the Closing Date in respect of operations, transactions or events occurring on or prior to the Closing Date;</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Losses arising out of or relating to the Retained Ex-Airport Business, the Specified Retained Assets, the Retained Entities, or Actions by any of the Seller’s stockholders or any minority equityholder in any member of the Company Group in connection with or arising out of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Losses arising out of or relating to the XpresTest RSAs (including the issuance thereof, or the payments made thereto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this Agreement or the calculation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Indemnification</w:t>
      </w: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 xml:space="preserve">by Buyer. Subject to the provisions and limitations of this Article 9, from and after the Closing the Buyer shall indemnify, defend and hold harmless Seller and its Affiliates and each of their respective officers, directors, managers, equityholders, partners, employees, advisors, agents, representatives, successors and assigns (collectively, the “Seller Indemnified Parties”) from and against, and pay on behalf of or reimburse such Seller Indemnified Party, for any and all Losses that any such Seller Indemnified Party (regardless of whether or not such Loss relates to any third party claim) may suffer, sustain or become subject to as a result of or arising out of, directly or indirectly: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Buyer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(1) any Taxes of any Company and any of their respective Subsidiaries for all Post-Closing Tax Periods, (2) any Taxes of the Buyer, including any Transfer Taxes for which the Buyer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Third Party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after any Buyer Indemnified Party or Seller Indemnified Party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receives notice with respect to any Action made or brought by any Person that is not a party to this Agreement which may give rise to a valid claim for indemnification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the Indemnified Party shall give written notice to the party from whom indemnification will be sought hereunder (each,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such claim describing such claim and the nature and amount, or anticipated amount (which amount or anticipated amount described therein, for avoidance of doubt, will not be determinative of the amount of Losses actually incurred in respect thereof), of the indemnifiable Loss, to the extent that the nature and amount thereof are determinable at such time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or delay in notifying the Indemnifying Party will not relieve the Indemnifying Party of its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except and only to the extent the Indemnifying Party and the defense of such claim is materially prejudiced or forfeited as a result thereof. Within thirty (30) days after receipt of a Claim Notice with respect to a Third Party Claim (or sooner, if the nature of such Third Party Claim so requires), the Indemnifying Party may assume the defense of such matter by providing written notice of such assumption to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Indemnifying Party shall retain counsel reasonably acceptable to the Indemnified Party and defend such Third Party Claim actively and diligently, (2) the Indemnified Party may participate in the defense of such claim, at its own expense, with co-counsel of its choice and (3) the Indemnifying Party shall not consent to the entry of any judgment with respect to the matter or enter into any settlement with respect to the matter without the Indemnified Party’s prior written consent (not to be unreasonably withheld, conditioned, or delayed), unless such concession, settlement or compromise (x) is solely for money damages, the full amount of which shall be paid by the Indemnifying Party and (y) includes, as a condition thereof, an express, unconditional release of the Indemnified Party from any Liability with respect to such Third Party Claim. Any entry of judgment, settlement or compromise that does not comply with the preceding sentence shall not be determinative of the amount of indemnifiable Losses with respect to any related claims for indemnification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the foregoing, the Indemnifying Party shall not be entitled to assume control of the defense of such Third Party Claim if such claim (A) seeks injunctive, equitable or other non-monetary relief, (B) involves criminal or quasi-criminal allegations, (C) in the Indemnified Party’s reasonable judgment, would be materially detrimental or injurious to the business, assets, properties, condition (financial or otherwise), results of operations or prospects of the Indemnified Party, (D) is related to Taxes (other than as provided in </w:t>
      </w:r>
      <w:r>
        <w:rPr>
          <w:rFonts w:ascii="Times New Roman;Times;Serif" w:hAnsi="Times New Roman;Times;Serif"/>
          <w:b w:val="false"/>
          <w:i w:val="false"/>
          <w:caps w:val="false"/>
          <w:smallCaps w:val="false"/>
          <w:sz w:val="20"/>
          <w:u w:val="single"/>
        </w:rPr>
        <w:t>Section 6.7(e)</w:t>
      </w:r>
      <w:r>
        <w:rPr>
          <w:rFonts w:ascii="Times New Roman;Times;Serif" w:hAnsi="Times New Roman;Times;Serif"/>
          <w:b w:val="false"/>
          <w:i w:val="false"/>
          <w:caps w:val="false"/>
          <w:smallCaps w:val="false"/>
          <w:sz w:val="20"/>
        </w:rPr>
        <w:t>) or (E) involves a claim with respect to which any Indemnifying Party has failed or is failing to actively and diligently prosecute or defend, or a conflict of interest exists between any Indemnifying Party and the Indemnified Party, including with respect to defenses and counterclaims.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Indemnifying Party is not entitled to assume control of the defense of such Third Party Claim or, within such thirty (30)-day period, does not provide written notice to the Indemnified Party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properly assuming the defense of such matter, the Indemnified Party shall have the right to control the defense of such Third Party Claim and may defend against the matter in any manner that it may reasonably deem appropriate with counsel reasonably acceptable to the Indemnifying Party, at the cost and expense of the Indemnifying Party (which such costs and expenses shall constitute indemnifiable Losses which are subject to the limitations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provided that the Indemnified Party shall not consent to the entry of any judgment with respect to the matter or enter into any settlement with respect to the matter without the Indemnifying Party’s prior written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parties hereto shall use commercially reasonable efforts to cooperate with each other in connection with the defense, negotiation or settlement of any Third Party Claim in connection with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extent there is any inconsistency between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shall control.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Direct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any valid claim by an Indemnified Party on account of an indemnifiable Loss under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as applicable, that does not arise from a Third Party Claim (a “</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shall be asserted in a Claim Notice delivered to the Indemnifying Party. Such Claim Notice shall (A) describe the claim for indemnification with reasonable specificity, (B) certify that such Indemnified Party has sustained, or reasonably expects to sustain, Losses with respect to such claim, (C) set forth a good faith estimate of the amount of Losses that have been or are reasonably expected to be sustained by the Indemnified Party (which estimate shall not be binding or determinative of the amount of Losses ultimately recoverable hereunder), and (D) reference the provisions of this Agreement and each certificate delivered pursuant to this Agreement or any Transaction Document in respect of which such right of indemnification is claimed, including the provisions that have allegedly been breached, if applicable (it being understood that such references shall not be determinative of the scope of indemnification ultimately applicable to such claim or of the provisions of this Agreement, any certificate, or any Transaction Document that are ultimately found to have been breached or to give rise to such indemnification obligation).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Indemnifying Party in good faith objects to any claim made in a Claim Notice, then the Indemnifying Party shall deliver a written notice (a “</w:t>
      </w:r>
      <w:r>
        <w:rPr>
          <w:rFonts w:ascii="Times New Roman;Times;Serif" w:hAnsi="Times New Roman;Times;Serif"/>
          <w:b w:val="false"/>
          <w:i w:val="false"/>
          <w:caps w:val="false"/>
          <w:smallCaps w:val="false"/>
          <w:sz w:val="20"/>
          <w:u w:val="single"/>
        </w:rPr>
        <w:t>Claim Dispute Notice</w:t>
      </w:r>
      <w:r>
        <w:rPr>
          <w:rFonts w:ascii="Times New Roman;Times;Serif" w:hAnsi="Times New Roman;Times;Serif"/>
          <w:b w:val="false"/>
          <w:i w:val="false"/>
          <w:caps w:val="false"/>
          <w:smallCaps w:val="false"/>
          <w:sz w:val="20"/>
        </w:rPr>
        <w:t xml:space="preserve">”) to the Indemnified Party during the twenty (20)-day period commencing on the delivery of the Claim Notice to the Indemnifying Party. The Claim Dispute Notice shall set forth in reasonable detail the principal basis for the dispute of any claim made in the Claim Notice. The Indemnified Party shall make available to the Indemnifying Party and its representatives, at the Indemnifying Party’s sole cost and expense, such records, materials, and information in or under such Indemnified Party’s possession or control as are reasonably necessary to evaluate the specific claim set forth in the Claim Notice as may be reasonably requested by the Indemnifying Party, during normal business hours and upon reasonable prior written notice and in a manner not unreasonably disruptive to the Indemnified Party’s ordinary business activities; provided that the Indemnified Party shall not be required to make available any information or materials (1) protected by attorney-client privilege, work product doctrine, or any other applicable legal privilege or protection, (2) the disclosure of which would violate any confidentiality obligation owed to a third party, or (3) the disclosure of which would violate applicable Law. Each claim for indemnification set forth in such Claim Notice shall be deemed to have been conclusively determined in the Indemnified Party’s favor for purposes of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the terms set forth in the Claim Notice upon the earlier of (A) receipt of notice that the Indemnifying Party agrees with the Direct Claims asserted in the Claim Notice or (B) expiration of such twenty (20)-day period if the Indemnifying Party does not deliver a Claim Dispute Notice to the Indemnified Party prior to the expiration of such period. In such event, the Indemnified Party will be free to pursue such remedies as may be available to the Indemnified Party at the Indemnifying Party’s expense pursuant to the terms of this Agreement. In the event the Indemnifying Party timely objects, in whole or in part, to a claim for indemnification in accordance with this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 the Indemnifying Party shall not be obligated to provide indemnification with respect to such properly disputed claim (or portion thereof) unless and until (x) a court of competent jurisdiction or arbitration tribunal has determined that the Indemnifying Party is liable or responsible for Losses associated with such claim (or portion thereof) in a final judgment or arbitration award, or (y) such disputed claim (or portion thereof) has been finally resolved by written agreement of Buyer and Seller.</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caps w:val="false"/>
          <w:smallCaps w:val="false"/>
          <w:sz w:val="20"/>
        </w:rPr>
        <w:t>Limitation of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neither Seller nor Buyer shall be obligated to provide any indemnification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unless and until the aggregate amount of Losses that the Indemnified Party is entitled to recover in respect of all such claims (including, for the avoidance of doubt, all claims arising out of the same or related facts, circumstances, events, or series of related events, which shall be aggregated and treated as a single claim for purposes of determining whether the Basket has been met) exceeds an amount equal to $100,000 (the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at which point the Indemnifying Party shall be obligated to indemnify the Indemnified Party for the full amount of all such Losses from the first dollar (and not merely the amount of such Losses in excess of the Basket); provided that, the Basket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or Section 3.13 (Information Technology, Privacy, and Data Security) or Actual Fraud;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claim for indemnification under Section 9.2(a)(i) or Section 9.2(b)(i), no individual claim (or series of related claims arising from the same or substantially similar facts, events, or circumstances) shall be counted toward the Basket, or be indemnifiable hereunder, unless the Losses attributable to such individual claim (or series of related claims) exceed Ten Thousand Dollars ($10,000) (the “</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once the Losses attributable to any such individual claim (or series of related claims) exceed the De Minimis Threshold, the full amount of such Losses (and not merely the amount in excess of the De Minimis Threshold) shall be counted toward the Basket and, if the Basket has been exceeded, shall be indemnifiable hereunder; provided, further, that the De Minimis Threshold shall not apply to any claims for Losses arising out of or relating to any inaccuracy in or breach of any Fundamental Representation, the representations and warranties set forth in Section 3.8 (Taxes), Section 3.9 (Environmental Matters), or Section 3.13 (Information Technology, Privacy, and Data Security), or Actual Fraud; and</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maximum aggregate liability of either Seller or Buyer, as applicable,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shall not exceed $2,000,000 (the “</w:t>
      </w:r>
      <w:r>
        <w:rPr>
          <w:rFonts w:ascii="Times New Roman;Times;Serif" w:hAnsi="Times New Roman;Times;Serif"/>
          <w:b w:val="false"/>
          <w:i w:val="false"/>
          <w:caps w:val="false"/>
          <w:smallCaps w:val="false"/>
          <w:sz w:val="20"/>
          <w:u w:val="single"/>
        </w:rPr>
        <w:t>Maximum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Maximum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or Section 3.13 (Information Technology, Privacy, and Data Security), or Actual Fraud, in each of which cases the Indemnifying Party’s aggregate indemnification obligations shall not exceed an amount equal to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Actual Fraud in which case the Indemnifying Party’s aggregate indemnification obligations shall be uncapped). In no event shall the aggregate liability of either Seller or Buyer, as applicable, for all Losses pursuant to all claims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exceed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 Actual Buyer Fraud or Actual Seller Fraud (as applicable) for which the aggregate liability of Seller or Buyer, as applicable, shall be uncapped and (B) Losses pursuant to claims under </w:t>
      </w:r>
      <w:r>
        <w:rPr>
          <w:rFonts w:ascii="Times New Roman;Times;Serif" w:hAnsi="Times New Roman;Times;Serif"/>
          <w:b w:val="false"/>
          <w:i w:val="false"/>
          <w:caps w:val="false"/>
          <w:smallCaps w:val="false"/>
          <w:sz w:val="20"/>
          <w:u w:val="single"/>
        </w:rPr>
        <w:t>Section 9.2(a)(v)</w:t>
      </w:r>
      <w:r>
        <w:rPr>
          <w:rFonts w:ascii="Times New Roman;Times;Serif" w:hAnsi="Times New Roman;Times;Serif"/>
          <w:b w:val="false"/>
          <w:i w:val="false"/>
          <w:caps w:val="false"/>
          <w:smallCaps w:val="false"/>
          <w:sz w:val="20"/>
        </w:rPr>
        <w:t xml:space="preserve">, for which the aggregate liability of Seller shall be uncapped). Any amounts recovered by the Buyer Indemnified Parties from the Indemnity Escrow Funds shall reduce Seller’s indemnification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a dollar-for-dollar basis. In respect of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(other than claims for Losses arising out of or relating to any inaccuracy in or breach of any Fundamental Representation,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or in respect of Actual Seller Fraud), the Buyer Indemnified Parties shall first seek recovery from the Indemnity Escrow Funds, and shall exhaust all available Indemnity Escrow Funds, prior to seeking direct recovery from Seller for any such indemnifiable Losses.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indemnification obligations of the parties hereto are not intended to waive, preclude or limit any other claims, rights or remedies that may exist in equity with respect to the matters covered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Sections 2.3(c)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2.3(d)</w:t>
      </w:r>
      <w:r>
        <w:rPr>
          <w:rFonts w:ascii="Times New Roman;Times;Serif" w:hAnsi="Times New Roman;Times;Serif"/>
          <w:b w:val="false"/>
          <w:i w:val="false"/>
          <w:caps w:val="false"/>
          <w:smallCaps w:val="false"/>
          <w:sz w:val="20"/>
        </w:rPr>
        <w:t xml:space="preserve">, or claims pursuant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with respect to claims arising from Actual Fraud (collectively, “</w:t>
      </w:r>
      <w:r>
        <w:rPr>
          <w:rFonts w:ascii="Times New Roman;Times;Serif" w:hAnsi="Times New Roman;Times;Serif"/>
          <w:b w:val="false"/>
          <w:i w:val="false"/>
          <w:caps w:val="false"/>
          <w:smallCaps w:val="false"/>
          <w:sz w:val="20"/>
          <w:u w:val="single"/>
        </w:rPr>
        <w:t>Non-Exclusive Claims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shall constitute the sole and exclusive monetary remedy of the Indemnified Parties with respect to claims in connection with the transactions contemplated by this Agreement from and after the Closing. In furtherance of the foregoing, except with respect to the Non-Exclusive Claims,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right to specific performance or injunctive relief. Notwithstanding the foregoing, nothing in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shall limit or restrict any Buyer Indemnified Party’s right to recover Losses from the Indemnity Escrow Funds or to exercise any set-off rights pursuant to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the existence of any breach of or inaccuracy in any representation or warranty or nonfulfillment of any covenant or agreement, and calculating the amount of any Losses incurred in connection with any such misrepresentation, breach of warranty or nonfulfillment of any covenant or agreement in this Agreement, any references to “material,” “Material Adverse Effect,” or language of similar import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upon becoming aware of any fact, event, condition, or breach that would reasonably be expected to, or does, give rise to any Losses for which it would be entitled to indemnification hereunder, each Indemnified Party shall, and shall cause its controlled Affiliates to, use commercially reasonable efforts to reasonably mitigate such Losses to the extent required by applicable Law. If an Indemnified Party actually recovers any insurance payments, or contractual indemnification or contribution payments available to it from third parties with respect to such indemnifiable Loss (collectively, “</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such Mitigating Payments (net of any reasonable, documented out-of-pocket expenses (including attorneys’ fees, other professional fees and disbursements, and any increases in insurance premiums) incurred in pursuing, negotiating or collecting such Mitigating Payments (collectively, “</w:t>
      </w:r>
      <w:r>
        <w:rPr>
          <w:rFonts w:ascii="Times New Roman;Times;Serif" w:hAnsi="Times New Roman;Times;Serif"/>
          <w:b w:val="false"/>
          <w:i w:val="false"/>
          <w:caps w:val="false"/>
          <w:smallCaps w:val="false"/>
          <w:sz w:val="20"/>
          <w:u w:val="single"/>
        </w:rPr>
        <w:t>Recovery Costs</w:t>
      </w:r>
      <w:r>
        <w:rPr>
          <w:rFonts w:ascii="Times New Roman;Times;Serif" w:hAnsi="Times New Roman;Times;Serif"/>
          <w:b w:val="false"/>
          <w:i w:val="false"/>
          <w:caps w:val="false"/>
          <w:smallCaps w:val="false"/>
          <w:sz w:val="20"/>
        </w:rPr>
        <w:t>”) shall be deducted from the calculation of Losses hereunder. In the event that any Indemnified Party receives any Mitigating Payments subsequent to the receipt by such Indemnified Party of any indemnification payment hereunder in respect of the Losses to which such Mitigating Payments relate, and the sum of such prior indemnification payment plus such Mitigating Payments (net of any Recovery Costs) exceeds the aggregate amount of Loss incurred by the Indemnified Party in connection with such claim, then the Indemnified Party shall promptly remit to the Indemnifying Party the lesser of (A) the amount previously paid by the Indemnifying Party in respect of such Losses and (B) the amount by which the sum of such indemnification payment and such Mitigating Payment (net of Recovery Costs) exceed the aggregate Loss incurred by the Indemnified Party in connection with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caps w:val="false"/>
          <w:smallCaps w:val="false"/>
          <w:sz w:val="20"/>
        </w:rPr>
        <w:t>Adjustments to Purchase Price; Set-off.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required by applicable Law, all payments made pursuant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treated as an adjustment to the Purchase Price for all purposes (including federal income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have the right to set-off any sum that is determined to be owed (whether pursuant to a final, non-appealable judgment, arbitration award, or mutual written agreement of the parties) to any Buyer Indemnified Party, or any sum that is the subject of a bona fide claim asserted in a Claim Notice that has not been timely disputed by Seller through delivery of a Claim Dispute Notice in accordance with </w:t>
      </w:r>
      <w:r>
        <w:rPr>
          <w:rFonts w:ascii="Times New Roman;Times;Serif" w:hAnsi="Times New Roman;Times;Serif"/>
          <w:b w:val="false"/>
          <w:i w:val="false"/>
          <w:caps w:val="false"/>
          <w:smallCaps w:val="false"/>
          <w:sz w:val="20"/>
          <w:u w:val="single"/>
        </w:rPr>
        <w:t>Section 9.2(d)(ii)</w:t>
      </w:r>
      <w:r>
        <w:rPr>
          <w:rFonts w:ascii="Times New Roman;Times;Serif" w:hAnsi="Times New Roman;Times;Serif"/>
          <w:b w:val="false"/>
          <w:i w:val="false"/>
          <w:caps w:val="false"/>
          <w:smallCaps w:val="false"/>
          <w:sz w:val="20"/>
        </w:rPr>
        <w:t>, against any amounts otherwise payable to Seller under this Agreement or any other Transaction Document, whether or not such amounts have become due and payable, without prejudice to any other rights or remedies available to Buyer under this Agreement or at law or in equity.</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exercise of Buyer’s right to set-off shall not preclude Buyer from exercising (subject to limitations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any other rights or remedies available under law or otherwise provided for in this Agreement or in any other Transaction Documents (including, without limitation, available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caps w:val="false"/>
          <w:smallCaps w:val="false"/>
          <w:sz w:val="20"/>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firstLine="720"/>
        <w:jc w:val="both"/>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490"/>
      </w:tblGrid>
      <w:tr>
        <w:trPr/>
        <w:tc>
          <w:tcPr>
            <w:tcW w:w="4490" w:type="dxa"/>
            <w:tcBorders/>
            <w:vAlign w:val="center"/>
          </w:tcPr>
          <w:p>
            <w:pPr>
              <w:pStyle w:val="TableContents"/>
              <w:bidi w:val="0"/>
              <w:spacing w:before="0" w:after="283"/>
              <w:jc w:val="both"/>
              <w:rPr>
                <w:sz w:val="20"/>
              </w:rPr>
            </w:pPr>
            <w:r>
              <w:rPr>
                <w:sz w:val="20"/>
              </w:rPr>
              <w:t>If to Buyer (or, following the Closing, the Companies):</w:t>
            </w:r>
          </w:p>
        </w:tc>
      </w:tr>
      <w:tr>
        <w:trPr/>
        <w:tc>
          <w:tcPr>
            <w:tcW w:w="4490" w:type="dxa"/>
            <w:tcBorders/>
            <w:vAlign w:val="center"/>
          </w:tcPr>
          <w:p>
            <w:pPr>
              <w:pStyle w:val="TableContents"/>
              <w:bidi w:val="0"/>
              <w:spacing w:before="0" w:after="283"/>
              <w:jc w:val="left"/>
              <w:rPr>
                <w:sz w:val="20"/>
              </w:rPr>
            </w:pPr>
            <w:r>
              <w:rPr>
                <w:sz w:val="20"/>
              </w:rPr>
              <w:t>c/o Face Haus, LLC</w:t>
              <w:br/>
              <w:t>110 North Robertson Boulevard</w:t>
            </w:r>
          </w:p>
        </w:tc>
      </w:tr>
      <w:tr>
        <w:trPr/>
        <w:tc>
          <w:tcPr>
            <w:tcW w:w="4490" w:type="dxa"/>
            <w:tcBorders/>
            <w:vAlign w:val="center"/>
          </w:tcPr>
          <w:p>
            <w:pPr>
              <w:pStyle w:val="TableContents"/>
              <w:bidi w:val="0"/>
              <w:spacing w:before="0" w:after="283"/>
              <w:jc w:val="left"/>
              <w:rPr>
                <w:sz w:val="20"/>
              </w:rPr>
            </w:pPr>
            <w:r>
              <w:rPr>
                <w:sz w:val="20"/>
              </w:rPr>
              <w:t>Los Angeles, CA 90048</w:t>
              <w:br/>
              <w:t>Attention: Richard Dantas and Greg Gish</w:t>
              <w:br/>
              <w:t>Email: [***]</w:t>
            </w:r>
          </w:p>
        </w:tc>
      </w:tr>
      <w:tr>
        <w:trPr/>
        <w:tc>
          <w:tcPr>
            <w:tcW w:w="4490" w:type="dxa"/>
            <w:tcBorders/>
            <w:vAlign w:val="center"/>
          </w:tcPr>
          <w:p>
            <w:pPr>
              <w:pStyle w:val="TableContents"/>
              <w:bidi w:val="0"/>
              <w:spacing w:before="0" w:after="283"/>
              <w:jc w:val="both"/>
              <w:rPr>
                <w:sz w:val="20"/>
              </w:rPr>
            </w:pPr>
            <w:r>
              <w:rPr>
                <w:sz w:val="20"/>
              </w:rPr>
              <w:t>with a copy to (which shall not constitute notice):</w:t>
            </w:r>
          </w:p>
        </w:tc>
      </w:tr>
      <w:tr>
        <w:trPr/>
        <w:tc>
          <w:tcPr>
            <w:tcW w:w="4490" w:type="dxa"/>
            <w:tcBorders/>
            <w:vAlign w:val="center"/>
          </w:tcPr>
          <w:p>
            <w:pPr>
              <w:pStyle w:val="TableContents"/>
              <w:bidi w:val="0"/>
              <w:spacing w:before="0" w:after="283"/>
              <w:jc w:val="left"/>
              <w:rPr>
                <w:sz w:val="20"/>
              </w:rPr>
            </w:pPr>
            <w:r>
              <w:rPr>
                <w:sz w:val="20"/>
              </w:rPr>
              <w:t>Dechert LLP</w:t>
            </w:r>
          </w:p>
        </w:tc>
      </w:tr>
      <w:tr>
        <w:trPr/>
        <w:tc>
          <w:tcPr>
            <w:tcW w:w="4490" w:type="dxa"/>
            <w:tcBorders/>
            <w:vAlign w:val="center"/>
          </w:tcPr>
          <w:p>
            <w:pPr>
              <w:pStyle w:val="TableContents"/>
              <w:bidi w:val="0"/>
              <w:spacing w:before="0" w:after="283"/>
              <w:jc w:val="left"/>
              <w:rPr>
                <w:sz w:val="20"/>
              </w:rPr>
            </w:pPr>
            <w:r>
              <w:rPr>
                <w:sz w:val="20"/>
              </w:rPr>
              <w:t>3 Bryant Park, 1095 Avenue of the Americas</w:t>
            </w:r>
          </w:p>
        </w:tc>
      </w:tr>
      <w:tr>
        <w:trPr/>
        <w:tc>
          <w:tcPr>
            <w:tcW w:w="4490" w:type="dxa"/>
            <w:tcBorders/>
            <w:vAlign w:val="center"/>
          </w:tcPr>
          <w:p>
            <w:pPr>
              <w:pStyle w:val="TableContents"/>
              <w:bidi w:val="0"/>
              <w:spacing w:before="0" w:after="283"/>
              <w:jc w:val="left"/>
              <w:rPr>
                <w:sz w:val="20"/>
              </w:rPr>
            </w:pPr>
            <w:r>
              <w:rPr>
                <w:sz w:val="20"/>
              </w:rPr>
              <w:t>New York, New York 10036</w:t>
            </w:r>
          </w:p>
        </w:tc>
      </w:tr>
      <w:tr>
        <w:trPr/>
        <w:tc>
          <w:tcPr>
            <w:tcW w:w="4490" w:type="dxa"/>
            <w:tcBorders/>
            <w:vAlign w:val="center"/>
          </w:tcPr>
          <w:p>
            <w:pPr>
              <w:pStyle w:val="TableContents"/>
              <w:bidi w:val="0"/>
              <w:spacing w:before="0" w:after="283"/>
              <w:jc w:val="left"/>
              <w:rPr>
                <w:sz w:val="20"/>
              </w:rPr>
            </w:pPr>
            <w:r>
              <w:rPr>
                <w:sz w:val="20"/>
              </w:rPr>
              <w:t>Attn: Naz Zilkha</w:t>
            </w:r>
          </w:p>
        </w:tc>
      </w:tr>
      <w:tr>
        <w:trPr/>
        <w:tc>
          <w:tcPr>
            <w:tcW w:w="4490" w:type="dxa"/>
            <w:tcBorders/>
            <w:vAlign w:val="center"/>
          </w:tcPr>
          <w:p>
            <w:pPr>
              <w:pStyle w:val="TableContents"/>
              <w:bidi w:val="0"/>
              <w:spacing w:before="0" w:after="283"/>
              <w:jc w:val="left"/>
              <w:rPr>
                <w:sz w:val="20"/>
              </w:rPr>
            </w:pPr>
            <w:r>
              <w:rPr>
                <w:sz w:val="20"/>
              </w:rPr>
              <w:t>Email: [***]</w:t>
            </w:r>
          </w:p>
        </w:tc>
      </w:tr>
      <w:tr>
        <w:trPr/>
        <w:tc>
          <w:tcPr>
            <w:tcW w:w="4490" w:type="dxa"/>
            <w:tcBorders/>
            <w:vAlign w:val="center"/>
          </w:tcPr>
          <w:p>
            <w:pPr>
              <w:pStyle w:val="TableContents"/>
              <w:bidi w:val="0"/>
              <w:spacing w:before="0" w:after="283"/>
              <w:jc w:val="both"/>
              <w:rPr>
                <w:sz w:val="20"/>
              </w:rPr>
            </w:pPr>
            <w:r>
              <w:rPr>
                <w:sz w:val="20"/>
              </w:rPr>
              <w:t>If to Seller (or, prior to the Closing, the Companies):</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10001</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Ezra Ernst and Ian Brown</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31" w:right="0" w:hanging="0"/>
              <w:jc w:val="left"/>
              <w:rPr>
                <w:caps w:val="false"/>
                <w:smallCaps w:val="false"/>
              </w:rPr>
            </w:pPr>
            <w:r>
              <w:rPr>
                <w:caps w:val="false"/>
                <w:smallCaps w:val="false"/>
              </w:rPr>
              <w:t> </w:t>
            </w:r>
          </w:p>
        </w:tc>
      </w:tr>
    </w:tbl>
    <w:p>
      <w:pPr>
        <w:pStyle w:val="TextBody"/>
        <w:bidi w:val="0"/>
        <w:spacing w:before="0" w:after="283"/>
        <w:jc w:val="left"/>
        <w:rPr/>
      </w:pPr>
      <w:r>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0"/>
              <w:ind w:left="69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ableContents"/>
              <w:bidi w:val="0"/>
              <w:spacing w:before="0" w:after="0"/>
              <w:ind w:left="690" w:right="0" w:hanging="0"/>
              <w:jc w:val="both"/>
              <w:rPr>
                <w:caps w:val="false"/>
                <w:smallCaps w:val="false"/>
              </w:rPr>
            </w:pPr>
            <w:r>
              <w:rPr>
                <w:caps w:val="false"/>
                <w:smallCaps w:val="false"/>
              </w:rPr>
              <w:t> </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22nd Floor</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10112</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Rick Werner and Zachary Jacobs</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89" w:right="0" w:hanging="0"/>
              <w:jc w:val="both"/>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caps w:val="false"/>
          <w:smallCaps w:val="false"/>
          <w:sz w:val="20"/>
        </w:rPr>
        <w:t>Schedules.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disclosure of any matter, or reference to any Contract, in any Section of the Schedules shall be deemed to be a disclosure of such matter or Contract, regardless of the existence or absence of cross-references, for all other Sections of the Schedules to which such matter or Contract to the extent the relevance of such disclosure is readily apparent on the face of such disclosure, but shall not be deemed to constitute an admission to any third party by the party making such disclosure or to otherwise imply that any such matter or Contract is material for the purposes of this Agreement and shall not affect the interpretation of such term for the purposes of this Agreement, in each case, beyond the scope of the applicable representations and warranties. In particular, (a) certain matters may be disclosed on the Schedules that may not be required to be disclosed because of certain minimum thresholds or materiality standards set forth in this Agreement, (b) the disclosure of any such matter, in and of itself, does not mean that it meets or surpasses any such minimum thresholds or materiality standards and (c) no disclosure in the Schedules relating to any possible breach or violation of any Contract or Law shall be construed as an admission or indication to any third party that any such breach or violation exists or has actually occurred beyond. In no event shall the listing of such matters in any Schedule be deemed or interpreted to expand the scope of the Seller’s or Company’s representations and warranties contained in this Agreement except to the extent expressly set forth in this Agreement as part of such representations and warranties. Each Schedule is qualified in its entirety by reference to the applicable specific provisions of the Agreement and does not constitute, and shall not be construed as constituting, representations, warranties or covenants of Buyer, Seller or their respective Affiliates, except as and to the extent provided in this Agreement. Matters reflected in a Schedule are not necessarily limited to matters or Contracts required by this Agreement to be disclosed in such Schedules. The section headings in the Schedules are for convenience of reference only and shall not be deemed to alter or affect the meaning or interpretation of any information disclosed herein or any provision of this Agreement. All attachments to the Schedules are incorporated by reference into the Schedule in which they are referenced. The information contained in the Schedules is in all events subject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the Confidentiality Agreement to the extent applicable to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[Reserved]</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caps w:val="false"/>
          <w:smallCaps w:val="false"/>
          <w:sz w:val="20"/>
        </w:rPr>
        <w:t>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whether the transactions provided for in this Agreement are consummated, except as otherwise provided herein, each party hereto shall pay its own Expenses incurred in connection with this Agreement and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be responsible for (a) 100% of the costs and expenses of the Escrow Agent, and (b) 100% of the Tail Policy Costs. As used in this Agreement,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all out-of-pocket expenses (including all fees and expenses of counsel, accountants, investment bankers, experts and consultants to a party hereto and its Affiliates) incurred by a party hereto or on its behalf in connection with or related to the authorization, preparation, negotiation, execution and performance of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caps w:val="false"/>
          <w:smallCaps w:val="false"/>
          <w:sz w:val="20"/>
        </w:rPr>
        <w:t>Governing Law; Jurisdiction; Waiver of Jury Trial.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including its statutes of limitations, without regard to any borrowing statute that would result in the application of the statute of limitations of any other jurisdiction. The parties hereto hereby agree and consent to be subject to the exclusive jurisdiction of the Court of Chancery of the State of Delaware or, in the event (but only in the event) that such Delaware Court of Chancery does not have subject matter jurisdiction over any such matter, the United States District Court for the District of Delaware or, in the event that such United States District Court for the District of Delaware also does not have subject matter jurisdiction over such matter, any Delaware State Court sitting in New Castle County, Delaware, and hereby waive the right to assert the lack of personal or subject matter jurisdiction or improper venue in connection with any such Action. In furtherance of the foregoing, each of the parties (i) waives the defense of inconvenient forum, (ii) agrees not to commence any Action arising out of this Agreement or any transactions contemplated hereby other than in any such court, and (iii) agrees that a final judgment in any such Action shall be conclusive and may be enforced in other jurisdictions by suit or judgment or in any other manner provided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right or obligation with respect to any Debt Financing Source in connection with this Agreement, the Debt Financing, any Debt Commitment Letter, any fee letters and the transactions contemplated thereby, and any claim, controversy, dispute, suit, action or proceeding relating thereto or arising thereunder, shall be governed by and construed in accordance with the Laws of the State of New York without regard to any principles of conflicts of Laws that would result in the application of the Laws of any other jurisdiction, except as otherwise expressly set forth in any Debt Commitment Letter (including as it relates to (A) the interpretation of the definition of Material Adverse Effect (and whether or not a Material Adverse Effect has occurred), (B) the determination of the accuracy of any Specified Acquisition Agreement Representation (as such term or similar term is defined in any Debt Commitment Letter) and whether as a result of any inaccuracy thereof Buyer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(C) the determination of whether the Closing has been consummated in all material respects in accordance with the terms hereof, which shall, in each case, be governed by, and enforced in accordance with, the internal Laws of the State of Delaware, including its statutes of limitations, without regard to any borrowing statute that would result in the application of the statute of limitations of any other jurisdiction). Solely in respect of the matters referred to in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the parties hereto hereby agree and consent to be subject to the exclusive jurisdiction of the Supreme Court of the State of New York, County of New York or, in the event (but only in the event) that such New York Supreme Court does not have subject matter jurisdiction over any such matter, the United States District Court for the Southern District of New York sitting in New York County, and hereby waive the right to assert the lack of personal or subject matter jurisdiction or improper venue in connection with any such Action.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WAIVES ANY RIGHT IT MAY HAVE TO TRIAL BY JURY IN RESPECT OF ANY LITIGATION BASED ON, ARISING OUT OF, UNDER OR IN CONNECTION WITH THIS AGREEMENT OR ANY COURSE OF CONDUCT, COURSE OF DEALING, VERBAL OR WRITTEN STATEMENT OR ACTION OF ANY PARTY HERETO (INCLUDING, WITHOUT LIMITATION, ANY PROCEEDING AGAINST ANY DEBT FINANCING SOURCE IN CONNECTION WITH THIS AGREEMENT, THE DEBT FINANCING, ANY DEBT COMMITMENT LETTER, THE FEE LETTERS AND THE TRANSACTIONS CONTEMPLATED HEREBY AND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caps w:val="false"/>
          <w:smallCaps w:val="false"/>
          <w:sz w:val="20"/>
        </w:rPr>
        <w:t>Assignment; Successors and Assigns; No Third Party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herein, this Agreement may not, without the prior written consent of the other parties hereto, be assigned, directly or indirectly, by operation of Law or otherwise, and any attempted assignment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Buyer may assign this Agreement and the other Transaction Documents to which it is a party and its rights, interests and obligation hereunder and thereunder, to (i) any Person that acquires substantially all of the assets of the Buyer and expressly assumes all the obligations, duties and liabilities of the Buyer set forth in this Agreement and such other Transaction Documents, (ii) for collateral security purposes to any lender providing financing to Buyer or the Company Group and (iii) to any Affiliate of Buyer;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in the case of each of clauses (i)-(iii), that Buyer shall remain primarily responsible for performance of its obligations hereunder. Subject to the foregoing, this Agreement shall be binding upon and inure to the benefit of the parties hereto and their respective heirs, successors, permitted assigns and legal representatives. Except as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in respect of the Indemnified Parties and </w:t>
      </w:r>
      <w:r>
        <w:rPr>
          <w:rFonts w:ascii="Times New Roman;Times;Serif" w:hAnsi="Times New Roman;Times;Serif"/>
          <w:b w:val="false"/>
          <w:i w:val="false"/>
          <w:caps w:val="false"/>
          <w:smallCaps w:val="false"/>
          <w:sz w:val="20"/>
          <w:u w:val="single"/>
        </w:rPr>
        <w:t>Sections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10.16</w:t>
      </w:r>
      <w:r>
        <w:rPr>
          <w:rFonts w:ascii="Times New Roman;Times;Serif" w:hAnsi="Times New Roman;Times;Serif"/>
          <w:b w:val="false"/>
          <w:i w:val="false"/>
          <w:caps w:val="false"/>
          <w:smallCaps w:val="false"/>
          <w:sz w:val="20"/>
        </w:rPr>
        <w:t xml:space="preserve"> hereof, this Agreement shall be for the sole benefit of the parties to this Agreement and their respective heirs, successors, permitted assigns and legal representatives and is not intended, nor shall be construed, to give any Person, other than the parties hereto and their respective heirs, successors, assigns and legal representatives, any legal or equitable right, remedy or claim hereunder. Notwithstanding anything to the contrary in this Agreement, each of the Debt Financing Sources shall be express third party beneficiaries of </w:t>
      </w:r>
      <w:r>
        <w:rPr>
          <w:rFonts w:ascii="Times New Roman;Times;Serif" w:hAnsi="Times New Roman;Times;Serif"/>
          <w:b w:val="false"/>
          <w:i w:val="false"/>
          <w:caps w:val="false"/>
          <w:smallCaps w:val="false"/>
          <w:sz w:val="20"/>
          <w:u w:val="single"/>
        </w:rPr>
        <w:t>Sections 10.5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the second sentence of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and each of such Sections shall expressly inure to the benefit of the Debt Financing Sources and the Debt Financing Sources shall be entitled to rely on and enforce the provisions of such Sections.</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i/>
          <w:caps w:val="false"/>
          <w:smallCaps w:val="false"/>
          <w:sz w:val="20"/>
        </w:rPr>
        <w:t>Counterparts.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multiple counterparts for the convenience of the parties hereto, each of which shall be deemed an original and all of which together will constitute one and the same instrument. Delivery of an executed counterpart of a signature page to this Agreement by Electronic Delivery or portable document format shall be effective as delivery of an executed counterpart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i/>
          <w:caps w:val="false"/>
          <w:smallCaps w:val="false"/>
          <w:sz w:val="20"/>
        </w:rPr>
        <w:t>Electronic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signed agreement or instrument entered into in connection with this Agreement, and any amendments hereto or thereto, to the extent delivered by means of a telecopier machine, electronic signature service (including pdf or any electronic signature complying with the U.S. federal ESIGN Act of 2000, e.g., www.docusign.com), or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agreement or instrument and will be considered to have the same binding legal effect as if it were the original signed version thereof delivered in person. At the request of any party or to any such agreement or instrument, each other party or thereto will re-execute original forms thereof and deliver them to all other parties. No party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i/>
          <w:caps w:val="false"/>
          <w:smallCaps w:val="false"/>
          <w:sz w:val="20"/>
        </w:rPr>
        <w:t>Titles and Headings.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titles, captions, headings and table of contents in this Agreement are for reference purposes only, and shall not in any way define, limit, extend or describe the scope of this Agreement or otherwise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i/>
          <w:caps w:val="false"/>
          <w:smallCaps w:val="false"/>
          <w:sz w:val="20"/>
        </w:rPr>
        <w:t>Entire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(including the Exhibits and Annexes hereto and the Schedules) and the other Transaction Documents constitute the entire agreement between the parties hereto with respect to the subject matters hereof and thereof and supersede all prior and contemporaneous representations, warranties, understandings and agreements, both written and oral, with respect to such subject matters;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Agreement and the other Transaction Documents shall not supersede the terms and provisions of the Confidentiality Agreement, which shall survive and remain in effect until expiration or termination thereof in accordance with its terms and this Agreement. In the event of any inconsistency between the statements in the body of this Agreement (including the Exhibits and Annexes hereto and the Schedules) and the other Transaction Documents (other than an exception expressly set forth as such in any such Transaction Document), the statements in the body of this Agreement will control.</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caps w:val="false"/>
          <w:smallCaps w:val="false"/>
          <w:sz w:val="20"/>
        </w:rPr>
        <w:t>Severability.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reasonably cooperate with a view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10.12.      </w:t>
      </w:r>
      <w:r>
        <w:rPr>
          <w:rFonts w:ascii="Times New Roman;Times;Serif" w:hAnsi="Times New Roman;Times;Serif"/>
          <w:b/>
          <w:i/>
          <w:caps w:val="false"/>
          <w:smallCaps w:val="false"/>
          <w:sz w:val="20"/>
        </w:rPr>
        <w:t>No Strict Construction; Mutual Drafting; Certain Understandings.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is a sophisticated legal entity or Person that was advised by experienced counsel and, to the extent it deemed necessary, other advisors in connection with this Agreement. The parties hereto have been represented by counsel who have carefully negotiated the provisions hereof. As a consequence, the parties do not intend that the presumptions of any Laws or rules relating to the interpretation of contracts against the drafter of any particular clause should be applied to this Agreement and therefore waive their effects. The language used in this Agreement will be deemed to be the language chosen by the parties to express their mutual intent, and no rule of strict construction will be applied against any Person. The parties agree that prior drafts of this Agreement and of the documents referred to herein will be deemed not to provide any evidence as to the meaning of any provision hereof or the intent of the parties with respect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voluntarily agreed to define their rights, liabilities and obligations to the extent respecting the transactions contemplated hereby exclusively in contract pursuant to the express terms and provisions of this Agreement; and, except in the event of Actual Seller Fraud or Actual Buyer Fraud (as applicable), the parties expressly disclaim that, to the extent respecting the transactions contemplated hereby, they are owed any duties (other than the duty of good faith and fair dealing under applicable Law) or are entitled to any remedies not expressly set forth in this Agreement. Furthermore, the parties each hereby acknowledge that this Agreement embodies the justifiable expectations of sophisticated parties derived from arm’s-length negotiations. All parties to this Agreement specifically acknowledge that no party has any special relationship with another party that would justify any expectation beyond that of an ordinary purchaser and an ordinary seller in an arm’s-length transaction. The parties agree that, except in the event of Actual Seller Fraud or Actual Buyer Fraud (as applicable), no party will in any event have any remedies or cause of action (whether in contract or in tort) to the extent respecting the transactions contemplated hereby for any statements, communications, disclosures, failures to disclose, representations or warranties not expressly set forth in this Agreement (including the Exhibits and Annexes hereto and the Schedules) or the other Transaction Documents, and no party has relied in respect of this Agreement or the transactions contemplated hereby upon any document or written or oral information previously furnished to or discovered by it or its representatives, other than this Agreement (including the Exhibits and Annexes hereto and the Schedules) and the other Transaction Documents. The parties agree and acknowledge that to the extent any terms and provisions of this Agreement are in any way inconsistent with or in conflict with any term, condition or provision of any other Transaction Document, this Agreement will govern and control, except to the extent expressly set forth herein or therein.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10.13.      </w:t>
      </w:r>
      <w:r>
        <w:rPr>
          <w:rFonts w:ascii="Times New Roman;Times;Serif" w:hAnsi="Times New Roman;Times;Serif"/>
          <w:b/>
          <w:i/>
          <w:caps w:val="false"/>
          <w:smallCaps w:val="false"/>
          <w:sz w:val="20"/>
        </w:rPr>
        <w:t>Specific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each Company and Buyer acknowledge that the rights of each party to receive the performance of each of the covenants and agreements in this Agreement (including to consummate the transactions contemplated hereby) are unique and recognize and affirm that in the event of a breach of this Agreement by any party, money damages may be inadequate and the non-breaching party would be irreparably damaged and may have no adequate remedy at Law. Accordingly, the parties agree that such non-breaching party shall have the right, in addition to any other rights and remedies existing in its favor at Law or in equity, to enforce its rights and the other party’s or parties’ obligations hereunder not only by an Action for damages but also by an Action for specific performance, temporary, preliminary, and permanent injunctive and/or other equitable relief (but not, after the Closing, rescission) to prevent breaches or threatened breaches of any of the provisions of this Agreement, without posting any bond, security or other undertaking. If, prior to the Closing, Seller or the Companies bring any Action to enforce specifically the performance of the terms and provisions hereof by any other party and the Termination Date has not yet passed, the Termination Date shall automatically be extended by the greater of (x) the amount of time during which such Action is pending, plus ten (10) Business Days and (y) such other time period established by the Governmental Authority presiding over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specific performance is not granted by such Governmental Authority, the original Termination Date will apply along with any rights of a party to terminate this Agreement, retroactive to the original Termination Date, in accordance with the applicable provisions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parties hereto further agree that (x) by seeking the remedies provided for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a party shall not in any respect waive its right to seek any other form of relief that may be available to such party under this Agreement, and (y) nothing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shall require any party to institute any proceeding for (or limit any party’s right to institute any proceeding for) specific performance under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nor shall the commencement of any legal proceeding pursuant to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or pursue any other remedies under this Agreement that may be available then or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(including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 other Transaction Document, the parties hereto acknowledge and agree that the right of the Seller and the Companies to seek specific performance or other equitable remedies to enforce or seek to enforce the obligation to cause the Buyer to take any action to effect the Closing or consummate the transactions contemplated hereby shall be subject in all respects to the requirements that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have been satisfied or waived (other than those conditions that by their terms are to be satisfied by actions taken or documents delivered at Closing, but subject to the satisfaction of those conditions at Closing), (ii) the proceeds of the Debt Financing have been received in full by Buyer (or the Debt Financing Sources have irrevocably confirmed in writing that such amount will be funded to Buyer at the Closing; provided, however, that Buyer will not be required to consummate the Closing if the Debt Financing is not in fact funded at Closing), (iii) the Companies and the Seller have irrevocably and unconditionally confirmed in writing to Buyer that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(other than those conditions that by their terms are to be satisfied by actions taken or documents delivered at Closing, but subject to the satisfaction of those conditions at Closing) have been satisfied or have been unconditionally and irrevocably waived by the Companies and Seller, and if specific performance is granted, that Seller and the Companies will consummate the Closing and (iv) Buyer has failed to consummate the Closing within five (5) Business Days after the delivery of such irrevocable and unconditional written confirmation (which shall not have been revoked, modified, withdrawn, or conditioned during such five (5) Business Day period).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10.14.      </w:t>
      </w:r>
      <w:r>
        <w:rPr>
          <w:rFonts w:ascii="Times New Roman;Times;Serif" w:hAnsi="Times New Roman;Times;Serif"/>
          <w:b/>
          <w:i/>
          <w:caps w:val="false"/>
          <w:smallCaps w:val="false"/>
          <w:sz w:val="20"/>
        </w:rPr>
        <w:t>Failure or Indulgence not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on the part of any party hereto in the exercise of any right hereunder shall impair such right or be construed to be waiver of, or acquiescence in, any breach of any representation, warranty or agreement herein, nor shall any single or partial exercise of any such right preclude any other or further exercise thereof or any other right. No waiver of any of the provisions of this Agreement shall be deemed to or shall constitute a waiver of any other provision hereof (whether or not similar). Except as otherwise expressly provided to the contrary herein,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10.15.      </w:t>
      </w:r>
      <w:r>
        <w:rPr>
          <w:rFonts w:ascii="Times New Roman;Times;Serif" w:hAnsi="Times New Roman;Times;Serif"/>
          <w:b/>
          <w:i/>
          <w:caps w:val="false"/>
          <w:smallCaps w:val="false"/>
          <w:sz w:val="20"/>
        </w:rPr>
        <w:t>Non-Recourse.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Transaction Documents may only be enforced against, and any claim or cause of action to the extent based upon or arising out of this Agreement or the transactions contemplated hereby or thereby may only be brought against, the Persons that are signatories as parties hereto or thereto and then only with respect to the specific obligations set forth herein or therein (other than the duty of good faith and fair dealing) with respect to such Person. For the avoidance of doubt, except to the extent a signatory is party to this Agreement or a Transaction Document (and then only to the extent of the specific obligations undertaken by such signatory party herein or therein and not otherwise (in each case, other than the duty of good faith and fair dealing)), (a) no claims or causes of action (whether in contract, tort, equity or otherwise) to the extent based upon or arising out of this Agreement or any Transaction Document (including any agreement, covenant or representation or warranty made in this Agreement or any Transaction Document or other obligation or liabilities of any one or more of Seller, the Company or Buyer under this Agreement or any Transaction Document) or the transactions contemplated hereby, may be made against any past, present or future director, trustee, manager, officer, employee, incorporator, member, manager, partner (general or limited), owner, beneficiary, Affiliate, agent, attorney, advisor or representative of any named party to this Agreement or direct or indirect owner, beneficiary or Affiliate of any of the foregoing (the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(b) no Non-Party Affiliate shall have Liability (whether in contract, tort, equity or otherwise, or based on any theory that seeks to impose Liability of any entity party against its owners or Affiliates, or to the extent based upon or arising out such Non-Party Affiliates’ receipt of consideration or other benefits from this Agreement or the transactions contemplated hereby) for any obligations or liabilities to the extent based upon or arising out of this Agreement or any Transaction Document or for any other claim to the extent based on, in respect of or by reason of this Agreement or its negotiation or execution, and (c) each party hereto waives and releases all such liabilities, claims and obligations described in clause (a) against any such Non-Party Affiliate. Non-Party Affiliates are expressly intended as third-party beneficiaries of this provision of this Agreement. Notwithstanding anything to the contrary contained herein, neither this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nor any other provision of this Agreement or another Transaction Document will prevent Buyer or any other Buyer Indemnified Party from making any claim or otherwise recovering any Losses resulting from Actual Seller Fraud.</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10.16.      </w:t>
      </w:r>
      <w:r>
        <w:rPr>
          <w:rFonts w:ascii="Times New Roman;Times;Serif" w:hAnsi="Times New Roman;Times;Serif"/>
          <w:b/>
          <w:i/>
          <w:caps w:val="false"/>
          <w:smallCaps w:val="false"/>
          <w:sz w:val="20"/>
        </w:rPr>
        <w:t>Release.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this Agreement or another Transaction Document, effective as of the Closing, Seller, on behalf of itself and its Affiliates, and its and their respective direct and indirect equityholders, officers, directors, managers, partners, employees and agents, and each of their respective successors and assigns (collectively, the “</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hereby waives and releases all claims, controversies, Actions, cross-claims, counter-claims, demands, debts, compensatory damages, liquidated damages, punitive or exemplary damages, other damages, claims for costs and attorneys’ fees, or Liabilities of any nature whatsoever in law or in equity, both past and present (from the beginning of the world through the date of this Agreement) and whether known or unknown, suspected or unsuspected, matured or unmatured, fixed or contingent, against any member of the Company Group, any of their respective direct and indirect equityholders and Affiliates, and each of their respective former, current or future Affiliates, direct or indirect equityholders, officers, directors, managers, partners, control persons, employees and agents, or their respective successors and assigns or any Affiliate, successor or assignee thereof (collectively, the “</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arising out of or relating to or accruing from such Person’s relationship with the Company Group prior to the Closing (as to each Seller Releasor, such Seller Releasor’s “</w:t>
      </w:r>
      <w:r>
        <w:rPr>
          <w:rFonts w:ascii="Times New Roman;Times;Serif" w:hAnsi="Times New Roman;Times;Serif"/>
          <w:b w:val="false"/>
          <w:i w:val="false"/>
          <w:caps w:val="false"/>
          <w:smallCaps w:val="false"/>
          <w:sz w:val="20"/>
          <w:u w:val="single"/>
        </w:rPr>
        <w:t>Buyer Released Claims</w:t>
      </w:r>
      <w:r>
        <w:rPr>
          <w:rFonts w:ascii="Times New Roman;Times;Serif" w:hAnsi="Times New Roman;Times;Serif"/>
          <w:b w:val="false"/>
          <w:i w:val="false"/>
          <w:caps w:val="false"/>
          <w:smallCaps w:val="false"/>
          <w:sz w:val="20"/>
        </w:rPr>
        <w:t>”). The foregoing release will in no event apply to (i) claims of Actual Buyer Fraud or (ii) rights or remedies under this Agreement or any 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Seller Releasors represents that he, she or it has made no assignment or transfer of any Buyer Released Claims.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Seller Releasors hereby covenants not to sue or to institute or cause to be instituted any Action against the Buyer Released Parties in any court or other tribunal in connection with the matters released pursuant to the foregoing provisions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not be terminated, modified or diminished as to any beneficiary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caps w:val="false"/>
          <w:smallCaps w:val="false"/>
          <w:sz w:val="20"/>
        </w:rPr>
        <w:t>Amendments.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may be amended, modified and supplemented by a written instrument authorized and executed (a) on behalf of Buyer, the Companies and Seller at any time prior to the Closing with respect to any of the terms contained herein and (b) on behalf of Buyer and Seller at any time after the Closing with respect to any of the terms contained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of the terms or provisions of this Agreement may be waived in writing at any time by the party that is entitled to the benefits of such waived terms or provisions. </w:t>
      </w:r>
      <w:r>
        <w:rPr>
          <w:rFonts w:ascii="Times New Roman;Times;Serif" w:hAnsi="Times New Roman;Times;Serif"/>
          <w:b w:val="false"/>
          <w:i w:val="false"/>
          <w:caps w:val="false"/>
          <w:smallCaps w:val="false"/>
          <w:sz w:val="20"/>
          <w:u w:val="single"/>
        </w:rPr>
        <w:t>Sections 10.5(b)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10.17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of this Agreement may not be amended, supplemented, waived or otherwise modified in any manner that is adverse to the Debt Financing Sources without the prior written consent of such Debt Financing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10.18.       </w:t>
      </w:r>
      <w:r>
        <w:rPr>
          <w:rFonts w:ascii="Times New Roman;Times;Serif" w:hAnsi="Times New Roman;Times;Serif"/>
          <w:b/>
          <w:i/>
          <w:caps w:val="false"/>
          <w:smallCaps w:val="false"/>
          <w:sz w:val="20"/>
        </w:rPr>
        <w:t>No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Seller hereby (i) waives any claims or rights against any Debt Financing Source relating to or arising out of this Agreement, the Debt Financing, any Debt Commitment Letter, any fee letters and the transactions contemplated hereby and thereby, whether at law or in equity, whether in contract or in tort or otherwise, (ii) agrees not to bring or support any suit, action or Proceeding against any Debt Financing Source in connection with this Agreement, the Debt Financing, any Debt Commitment Letter, any fee letters and the transactions contemplated hereby and thereby, whether at law or in equity, whether in contract or in tort or otherwise and (iii) agrees to cause any suit, action or Proceeding asserted against any Debt Financing Source by or on behalf of Seller in connection with this Agreement, the Debt Financing, any Debt Commitment Letter, any fee letters, and the transactions contemplated hereby and thereby to be dismissed or otherwise terminated. In furtherance and not in limitation of the foregoing waivers and agreements, it is acknowledged and agreed that no Debt Financing Source shall have any Liability for any claims or damages to Seller in connection with this Agreement, the Debt Financing, any Debt Commitment Letter, any fee letters, and the transactions contemplated hereby and thereby. Notwithstanding anything contained herein to the contrary, nothing in this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Debt Financing Source is a party, including any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10.19.       </w:t>
      </w:r>
      <w:r>
        <w:rPr>
          <w:rFonts w:ascii="Times New Roman;Times;Serif" w:hAnsi="Times New Roman;Times;Serif"/>
          <w:b/>
          <w:i/>
          <w:caps w:val="false"/>
          <w:smallCaps w:val="false"/>
          <w:sz w:val="20"/>
        </w:rPr>
        <w:t>Legal Representation.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on behalf of itself and its Affiliates (including, following the Closing, the Companies and each other member of the Company Group), acknowledges and agrees that Haynes and Boone, LLP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has acted as counsel for Seller and its Affiliates (collectively, the “</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in connection with this Agreement, the other Transaction Documents, and the Sale (the “</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on behalf of itself and its Affiliates (including, following the Closing, the Companies and each other member of the Company Group), acknowledges and agrees that all confidential communications (whether written or oral) between any member of the Seller Group, on the one hand, and Counsel, on the other hand, in connection with the Transaction Engagement, and any attendant attorney-client privilege, attorney work product protection, and expectation of client confidentiality applicable thereto, shall be deemed to belong solely to Seller, and not the Companies or any other member of the Company Group, and shall not pass to or be claimed, held, or used by the Buyer, the Companies, or any other member of the Company Group upon or following the Closing. Accordingly, the Buyer shall not have access to any such communications, or to the files of Counsel relating to the Transaction Engagement. Without limiting the generality of the foregoing, upon and following the Closing, (A) to the extent that files of Counsel in respect of the Transaction Engagement constitute property of any member of the Seller Group, only Seller shall hold such property rights, and (B) Counsel shall have no duty whatsoever to reveal or disclose any such attorney-client communications or files to the Buyer, the Companies, or any other member of the Company Group by reason of any attorney-client relationship between Counsel and the Companies or any other member of the Company Group or otherwise. The Buyer, on behalf of itself and its Affiliates (including, following the Closing, the Companies and each other member of the Company Group) irrevocably waives any right it may have to discover or obtain information or documentation relating to the Transaction Engagement, to the extent that such information or documentation was subject to an attorney-client privilege, work product protection or protection under applicable attorney work-product doctrine arising from Counsel’s representation of any member of the Seller Group in connection with the Transaction Engagement; provided, however, that the foregoing waiver shall not apply to any information or documentation that is not subject to attorney-client privilege, work product protection, or any other applicable privilege or protection, and shall not limit Buyer’s right to seek such non-privileged information through discovery in any litigation, arbitration, or other formal dispute resolution proceeding to the extent permitted by applicable Law. If and to the extent that, at any time following the Closing, the Buyer or any of its Affiliates (including, following the Closing, the Companies and each other member of the Company Group) shall have the right to assert or waive any attorney-client privilege with respect to any communication (whether written or oral) between the Companies, any other member of the Company Group, or any of their Affiliates, on the one hand, and Counsel on the other hand, solely in connection with the Transaction Engagement, neither the Buyer nor any of its Affiliates (including, following the Closing, the Companies and each other member of the Company Group) shall be entitled to waive such privilege without the prior written consent of Seller (such consent not to be unreasonably withheld, conditioned, or delayed); provided that, for the avoidance of doubt, the foregoing shall not restrict Buyer or any of its Affiliates from asserting or waiving any attorney-client privilege with respect to any communication with Counsel or any other counsel that does not relate to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on behalf of itself and its Affiliates (including, following the Closing, the Companies and each other member of the Company Group), acknowledges that Counsel may have acted as counsel for one or more members of the Seller Group in certain matters for several years, and Seller reasonably anticipates that Counsel will continue to represent Seller or its Affiliates (other than the Companies and each other member of the Company Group) in future matters. Accordingly, the Buyer, on behalf of itself and its Affiliates (including, following the Closing, the Companies and each other member of the Company Group), expressly: (A) consents to Counsel’s representation of Seller or any of its Affiliates in any matter, which may include any post-Closing matter in which the interests of the Buyer, the Companies, or any other member of the Company Group, on the one hand, and Seller or any of its Affiliates, on the other hand, are adverse (which may include any matter relating to the Sale), whether or not such matter is one in which Counsel may have previously advised Seller or any of its Affiliates; and (B) consents to the disclosure by Counsel to Seller or any of its Affiliates of any information learned by Counsel in the course of its representation of any member of the Seller Group solely in connection with the Transaction Engagement, whether or not such information is subject to attorney-client privilege, attorney work product protection, or Counsel’s duty of confidentiality; provided, however, that the consent set forth in clause (B) above shall not extend to any information learned by Counsel in the course of any representation of the Companies or any other member of the Company Group that does not relate to the Transaction Engagement, and Buyer does not waive any right it may have to assert that any such information remains subject to attorney-client privilege or other applicable protections as between the Companies and Counsel with respect to such non-Transaction Engagement matters.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 on behalf of itself and its Affiliates (including, following the Closing, the Companies and each other member of the Company Group), acknowledges, agrees, and covenants that no such Person shall assert any claim or bring any Action against Counsel in respect of legal services provided by Counsel to any member of the Seller Group or any of their Affiliates in connection with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and following the Closing, the Companies and each other member of the Company Group shall cease to have any attorney-client relationship with Counsel, unless and to the extent Counsel is specifically engaged in writing by the Companies or such other member of the Company Group to represent it following the Closing and such engagement either (A) involves no conflict of interest with respect to Seller and its Affiliates, or (B) Seller or such affected Affiliates, as applicable, consent in writing at the time to such engagement. No such representation by Counsel following the Closing shall affect any of the other provisions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in the event that a dispute arises between Buyer, any member of the Company Group or any of their respective Affiliates and a third party (other than a Seller Party or any of its Affiliates) after the Closing, the Company Group may assert the attorney-client privilege to prevent disclosure of confidential communications by Counsel to such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 hereto consents to the arrangements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 xml:space="preserve"> and waives any actual or potential conflict of interest that may be involved in connection with any representation by Counsel permitted under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376"/>
        <w:gridCol w:w="2883"/>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0"/>
              <w:ind w:left="3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 HOLDINGS,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XPRESTEST,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XWELL,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Express Wellness Group,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President</w:t>
            </w:r>
          </w:p>
        </w:tc>
      </w:tr>
    </w:tbl>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br/>
        <w:t>Accounting Principles</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t>Form of Escrow Agreement</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br/>
        <w:t>Form of Transition Services Agreement</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5" w:name="annexb_005"/>
      <w:bookmarkEnd w:id="75"/>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Guaranty, dated as of July 6, 2026 (this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by Face Haus LLC, a Delaware limited liability company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in favor of XWELL, Inc., a Delaware corporation (the “</w:t>
      </w:r>
      <w:r>
        <w:rPr>
          <w:rFonts w:ascii="Times New Roman;Times;Serif" w:hAnsi="Times New Roman;Times;Serif"/>
          <w:b w:val="false"/>
          <w:i w:val="false"/>
          <w:caps w:val="false"/>
          <w:smallCaps w:val="false"/>
          <w:sz w:val="20"/>
          <w:u w:val="single"/>
        </w:rPr>
        <w:t>Guaranteed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To induce the Guaranteed Party to enter into the Securities Purchase Agreement, dated as of the date hereof (as amended, amended and restated,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capitalized terms used but not defined herein shall have the meanings given to such terms in the Purchase Agreement) by and among Express Wellness Group, LLC, a Delaware limited liability company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the Guaranteed Party, pursuant to which, subject to the terms and conditions set forth therein, among other things, at the Closing the Buyer will purchase from the Guaranteed Party, and the Guaranteed Party will sell to the Buyer, the Purchased Equity, the Guarantor hereby absolutely, unconditionally and irrevocably guarantees to the Guaranteed Party, the due and punctual performance and discharge of the following obligations of the Buyer: (a) payment of the Seller Termination Fee to the Guaranteed Party following the valid termination of the Purchase Agreement, if, when, and as due pursuant to Section 8.4 of the Purchase Agreement and subject to the limitations on liability set forth therein and herein (the “</w:t>
      </w:r>
      <w:r>
        <w:rPr>
          <w:rFonts w:ascii="Times New Roman;Times;Serif" w:hAnsi="Times New Roman;Times;Serif"/>
          <w:b w:val="false"/>
          <w:i w:val="false"/>
          <w:caps w:val="false"/>
          <w:smallCaps w:val="false"/>
          <w:sz w:val="20"/>
          <w:u w:val="single"/>
        </w:rPr>
        <w:t>RTF Obligation</w:t>
      </w:r>
      <w:r>
        <w:rPr>
          <w:rFonts w:ascii="Times New Roman;Times;Serif" w:hAnsi="Times New Roman;Times;Serif"/>
          <w:b w:val="false"/>
          <w:i w:val="false"/>
          <w:caps w:val="false"/>
          <w:smallCaps w:val="false"/>
          <w:sz w:val="20"/>
        </w:rPr>
        <w:t>”); (b) payment or reimbursement (as applicable) of all costs and expenses pursuant to Section 6.6(c) of the Purchase Agreement (the “</w:t>
      </w:r>
      <w:r>
        <w:rPr>
          <w:rFonts w:ascii="Times New Roman;Times;Serif" w:hAnsi="Times New Roman;Times;Serif"/>
          <w:b w:val="false"/>
          <w:i w:val="false"/>
          <w:caps w:val="false"/>
          <w:smallCaps w:val="false"/>
          <w:sz w:val="20"/>
          <w:u w:val="single"/>
        </w:rPr>
        <w:t>Financing Cooperation Expenses Obligation</w:t>
      </w:r>
      <w:r>
        <w:rPr>
          <w:rFonts w:ascii="Times New Roman;Times;Serif" w:hAnsi="Times New Roman;Times;Serif"/>
          <w:b w:val="false"/>
          <w:i w:val="false"/>
          <w:caps w:val="false"/>
          <w:smallCaps w:val="false"/>
          <w:sz w:val="20"/>
        </w:rPr>
        <w:t>”); (c) payment to the Guaranteed Party of any amounts due pursuant to Section 8.4(c) of the Purchase Agreement; and (d) payment of any monetary damages finally determined by a court of competent jurisdiction to have resulted from a Willful Breach by Buyer with respect to its failure to comply with Section 6.6(d) of the Purchase Agreement (clauses (a)-(d), each an “Obligation” and collectively, the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no event shall the Guarantor’s aggregate liability with respect to the RTF Obligation exceed an amount equal to the Seller Termination Fee (the “</w:t>
      </w:r>
      <w:r>
        <w:rPr>
          <w:rFonts w:ascii="Times New Roman;Times;Serif" w:hAnsi="Times New Roman;Times;Serif"/>
          <w:b w:val="false"/>
          <w:i w:val="false"/>
          <w:caps w:val="false"/>
          <w:smallCaps w:val="false"/>
          <w:sz w:val="20"/>
          <w:u w:val="single"/>
        </w:rPr>
        <w:t>RTF Cap</w:t>
      </w:r>
      <w:r>
        <w:rPr>
          <w:rFonts w:ascii="Times New Roman;Times;Serif" w:hAnsi="Times New Roman;Times;Serif"/>
          <w:b w:val="false"/>
          <w:i w:val="false"/>
          <w:caps w:val="false"/>
          <w:smallCaps w:val="false"/>
          <w:sz w:val="20"/>
        </w:rPr>
        <w:t>”), (ii) in no event shall the Guarantor’s aggregate liability under this Limited Guaranty exceed an amount equal to the Purchase Price (the “</w:t>
      </w:r>
      <w:r>
        <w:rPr>
          <w:rFonts w:ascii="Times New Roman;Times;Serif" w:hAnsi="Times New Roman;Times;Serif"/>
          <w:b w:val="false"/>
          <w:i w:val="false"/>
          <w:caps w:val="false"/>
          <w:smallCaps w:val="false"/>
          <w:sz w:val="20"/>
          <w:u w:val="single"/>
        </w:rPr>
        <w:t>Overall Cap</w:t>
      </w:r>
      <w:r>
        <w:rPr>
          <w:rFonts w:ascii="Times New Roman;Times;Serif" w:hAnsi="Times New Roman;Times;Serif"/>
          <w:b w:val="false"/>
          <w:i w:val="false"/>
          <w:caps w:val="false"/>
          <w:smallCaps w:val="false"/>
          <w:sz w:val="20"/>
        </w:rPr>
        <w:t>”), (iii) the Guaranteed Party, on behalf of itself, its direct and indirect equityholders and each of their respective Affiliates and Representatives, hereby agrees that the Guarantor shall in no event be required to pay the Guaranteed Party or any other Person, pursuant to this Limited Guaranty, the Purchase Agreement, any other Transaction Document, or any other agreement, document or instrument delivered in connection herewith or therewith, or in connection with the transactions contemplated hereby or thereby, any amount in excess of the Overall Cap or, with respect of the RTF Obligation, more than the RTF Cap, (iv) the Guarantor shall not have any obligation or liability to any Person relating to, arising out of or in connection with this Limited Guaranty, the Purchase Agreement, any other Transaction Document, or any other agreement, document or instrument delivered in connection herewith or therewith, or in connection with the transactions contemplated hereby or thereby, other than as expressly set forth herein and therein and (v) this Limited Guaranty may not be enforced without giving effect to the Overall Cap and, with respect to the RTF Obligation, without giving effect to the RTF Cap. In no event shall the sum of any amounts paid hereunder to the Guaranteed Party exceed the Overall Cap. It is acknowledged and agreed that this Limited Guaranty will expire and have no further force or effect, and the Guaranteed Party will have no rights hereunder, upon the Closing. The Guaranteed Party may bring and prosecute an action related to this Limited Guaranty against the Guarantor for the full amount of the Obligations without also bringing action against or naming the Buyer in any such action. All payments under this Limited Guaranty shall be made in lawful money of the United States, in immediately available funds. Notwithstanding anything to the contrary set forth in this Limited Guaranty, the Guaranteed Party hereby agrees that to the extent that the Buyer is relieved from its payment obligations under the Purchase Agreement by satisfaction thereof or pursuant to any written agreement with the Guaranteed Party to such effect, the Guarantor shall be similarly relieved of its obligation under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NATURE OF GUARANTEE</w:t>
      </w:r>
      <w:r>
        <w:rPr>
          <w:rFonts w:ascii="Times New Roman;Times;Serif" w:hAnsi="Times New Roman;Times;Serif"/>
          <w:b w:val="false"/>
          <w:i w:val="false"/>
          <w:caps w:val="false"/>
          <w:smallCaps w:val="false"/>
          <w:sz w:val="20"/>
        </w:rPr>
        <w:t>. The Guaranteed Party shall not be obligated to file any claim relating to the Obligations in the event that the Buyer becomes subject to a bankruptcy, reorganization or similar proceeding, and the failure of the Guaranteed Party to so file shall not affect the Guarantor’s obligations hereunder. In the event that any payment to the Guaranteed Party in respect of the Obligations is rescinded or must otherwise be returned for any reason whatsoever (other than as a result of the fraud, gross negligence or willful misconduct of the Guaranteed Party or any of its Affiliates), the Guarantor shall remain liable hereunder with respect to the Obligations (subject to the Overall Cap and, in the case of the RTF Obligation, to the RTF Cap) as if such payment had not been made. This is an unconditional guarantee of payment and not only of collectability.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CHANGES IN OBLIGATIONS, CERTAIN WAIVERS</w:t>
      </w:r>
      <w:r>
        <w:rPr>
          <w:rFonts w:ascii="Times New Roman;Times;Serif" w:hAnsi="Times New Roman;Times;Serif"/>
          <w:b w:val="false"/>
          <w:i w:val="false"/>
          <w:caps w:val="false"/>
          <w:smallCaps w:val="false"/>
          <w:sz w:val="20"/>
        </w:rPr>
        <w:t>. The Guarantor agrees that the obligations of the Guarantor hereunder shall not be released or discharged, in whole or in part, or otherwise affected by (a) the failure of the Guaranteed Party to assert any claim or demand or to enforce any right or remedy against the Buyer or any other Person interested in the transactions contemplated by the Purchase Agreement; (b) any change in the time, place or manner of payment of any of the Obligations or any rescission, waiver, compromise, consolidation or other amendment or modification of any of the terms or provisions of the Purchase Agreement made in accordance with the terms thereof or any other agreement evidencing, securing or otherwise executed in connection with any of the Obligations (other than any waiver, amendment or modification to provisions of the Purchase Agreement regarding the Obligations themselves); (c) the addition, substitution or release of any Person interested in the transactions contemplated by the Purchase Agreement; (d) any change in the corporate existence, structure or ownership of the Buyer or any other Person interested in the transactions contemplated by the Purchase Agreement; (e) any insolvency, bankruptcy, reorganization or other similar proceeding affecting the Buyer or any other Person interested in the transactions contemplated by the Purchase Agreement; or (f) the adequacy of any other means the Guaranteed Party may have of obtaining payment of any of the Obligations. To the fullest extent permitted by Law, the Guarantor hereby expressly waives any and all rights or defenses arising by reason of any Law which would otherwise require any election of remedies by the Guaranteed Party. The Guarantor waives promptness, diligence, notice of the acceptance of this Limited Guaranty and of the Obligations, presentment, demand for payment, notice of non-performance, default, dishonor and protest, notice of any Obligations incurred and all other notices of any kind (in each case except for notices expressly required to be provided to the Guarantor in accordance with this Limited Guaranty), all defenses which may be available by virtue of any valuation, stay, moratorium Law or other similar Law now or hereafter in effect, any right to require the marshalling of assets of the Buyer or any other Person interested in the transactions contemplated by the Purchase Agreement, and all suretyship or other defenses that may or might in any manner or to any extent vary the risk of the Guarantor or otherwise operate as a discharge of the Guarantor as a matter of law or equity, other than a discharge of the Guarantor with respect to a particular Obligations as a result of (i) the indefeasible payment in full of such Obligation in accordance with its terms (subject to reinstatement of this Limited Guaranty if any portion of any such payment is rescinded or otherwise required to be returned), or (ii) those defenses to the payment of such Obligation that Buyer has (x) arising from Actual Fraud or (y) under the specific terms of the Purchase Agreement, which shall not include, for the avoidance of doubt, any defenses arising out of, or due to, any bankruptcy or insolvency of Buyer, lack of authority or power of Buyer, unenforceability of the Purchase Agreement, or any other defenses expressly waived hereby (collectively, the “</w:t>
      </w:r>
      <w:r>
        <w:rPr>
          <w:rFonts w:ascii="Times New Roman;Times;Serif" w:hAnsi="Times New Roman;Times;Serif"/>
          <w:b w:val="false"/>
          <w:i w:val="false"/>
          <w:caps w:val="false"/>
          <w:smallCaps w:val="false"/>
          <w:sz w:val="20"/>
          <w:u w:val="single"/>
        </w:rPr>
        <w:t>Waived Defenses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 hereby unconditionally and irrevocably agrees not to exercise any rights that it may now have or hereafter acquire against the Buyer or any other Person interested in the transactions contemplated by the Purchase Agreement that arise from the existence, payment, performance, or enforcement of the Guarantor’s obligations under or in respect of this Limited Guaranty or any other agreement in connection therewith, including, without limitation, any right of subrogation, reimbursement, exoneration, contribution or indemnification and any right to participate in any claim or remedy of the Guaranteed Party against the Buyer or such other Person, whether or not such claim, remedy or right arises in equity or under contract, statute or common Law, including, without limitation, the right to take or receive from the Buyer or such other Person, directly or indirectly, in cash or other property or by set-off or in any other manner, payment or security on account of such claim, remedy or right, unless and until all of the Obligations and all other amounts payable under this Limited Guaranty shall have been paid in full in cash or this Limited Guaranty has terminated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If any amount shall be paid to the Guarantor in violation of the immediately preceding sentence at any time prior to the payment in full in cash of the Obligations and all other amounts payable under this Limited Guaranty, such amount shall be received and held in trust for the benefit of the Guaranteed Party, shall be segregated from other property and funds of the Guarantor and shall forthwith be paid or delivered to the Guaranteed Party in the same form as so received (with any necessary endorsement or assignment) to be credited and applied to the Obligations and all other amounts payable under this Limited Guaranty, in accordance with the terms of the Purchase Agreement, whether matured or unmatured, or to be held as collateral for any Obligations or other amounts payable under this Limited Guaranty thereafter arising. Notwithstanding anything to the contrary contained in this Limited Guaranty,(i)  the Guaranteed Party hereby agrees that to the extent the Buyer is relieved of its obligations under Section 6.6(c) or Section 8.4 of the Purchase Agreement or relieved of any claim or liability for Willful Breach (other than as a result of the Waived Defenses), the Guarantor shall be similarly relieved of its obligations under this Limited Guaranty, and (ii) the Guarantor may assert, as a defense to, or release or discharge of, any payment or performance by the Guarantor under this Limited Guaranty, any claim, set off, deduction, defense or release that the Buyer could assert against the Guaranteed Party (other than the Waived Defenses) under the terms of, or with respect to, the Purchase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WAIVER; CUMULATIVE RIGHTS</w:t>
      </w:r>
      <w:r>
        <w:rPr>
          <w:rFonts w:ascii="Times New Roman;Times;Serif" w:hAnsi="Times New Roman;Times;Serif"/>
          <w:b w:val="false"/>
          <w:i w:val="false"/>
          <w:caps w:val="false"/>
          <w:smallCaps w:val="false"/>
          <w:sz w:val="20"/>
        </w:rPr>
        <w:t>. No failure on the part of either party to this Limited Guaranty to exercise, and no delay in exercising, any right, remedy or power hereunder shall operate as a waiver thereof, nor shall any single or partial exercise by a party hereto of any right, remedy or power hereunder or any other Transaction Document or otherwise preclude any other or future exercise of any right, remedy or power hereunder. Each and every right, remedy and power hereby granted to a party hereto or allowed it by Law or other agreement shall be cumulative and not exclusive of any other, and may be exercised by such party at any time or from time to time. For the avoidance of doubt, and notwithstanding anything to the contrary contained herein, the Guaranteed Party expressly hereby acknowledges that the only manner in which the Guaranteed Party or any of its Affiliates can obtain any form of money damages or other remedy against the Guarantor or any of its Affiliates is pursuant to the express provisions of this Limited Guaranty or any other Retained Claim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Guarantor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Guarantor is a limited liability company duly organized, validly existing and in good standing under the Laws of the State of Delaware, and has all necessary power and authority to execute, deliver and perform its obligations under this Limited Guaranty in accordance with the terms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Limited Guaranty have been duly and validly authorized by all necessary action and do not conflict with, contravene, or result in any default, breach, violation or infringement (with or without notice or lapse of time or both) of: (i) any provision of the Guarantor’s limited liability company agreement; or (ii) any Law, regulation, rule, decree, order, judgment or contractual restriction binding on the Guarantor or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consents, approvals, authorizations, permits of, filings with and notifications to, any Governmental Authority necessary for the due execution, delivery and performance of this Limited Guaranty by the Guarantor have been obtained or made and all conditions thereof have been duly complied with, and no other action by, and no notice to or filing with, any Governmental Authority is required in connection with the execution, delivery or performance of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Limited Guaranty constitutes a legal, valid and binding obligation of the Guarantor enforceable against the Guarantor in accordance with its terms, subject to (i) the effects of bankruptcy, insolvency, fraudulent conveyance, reorganization, moratorium or other similar Laws affecting creditors’ rights generally, and (ii) general equitable principles (whether considered in a proceeding in equity or at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 Guarantor has the financial capacity to pay and perform its obligations under this Limited Guaranty, and all funds necessary for the Guarantor to fulfill its obligations under this Limited Guaranty are available to the Guarantor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ASSIGNMENT</w:t>
      </w:r>
      <w:r>
        <w:rPr>
          <w:rFonts w:ascii="Times New Roman;Times;Serif" w:hAnsi="Times New Roman;Times;Serif"/>
          <w:b w:val="false"/>
          <w:i w:val="false"/>
          <w:caps w:val="false"/>
          <w:smallCaps w:val="false"/>
          <w:sz w:val="20"/>
        </w:rPr>
        <w:t xml:space="preserve">. Neither the Guarantor nor the Guaranteed Party may assign its rights, interests or obligations hereunder to any other Person (except by operation of Law) without the prior written consent of the Guaranteed Party (in the case of an assignment by the Guarantor) or the Guarantor (in the case of an assignment by the Guaranteed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Guarantor may assign its rights, interests and obligations hereunder, without the prior written consent of the Guaranteed Party, to any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(x) notwithstanding any other provision hereof, no assignment of any of the Guarantor’s rights, interests or obligations hereunder will relieve the Guarantor of any of its obligations hereunder, except that to the extent the Guaranteed Party provides its prior written consent to an assignment of the Guarantor's obligations hereunder, the Guarantor shall be released from the portion of such obligations so assigned to the extent of such assignment and (y) no such assignment shall be effective against the Guaranteed Party unless and until written notice thereof is delivered to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Haus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North Robertson Boulevard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90048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Richard Dantas and Greg Gish</w:t>
        <w:br/>
        <w:t>Email:               richard@thefacehaus.com</w:t>
      </w:r>
    </w:p>
    <w:p>
      <w:pPr>
        <w:pStyle w:val="TextBody"/>
        <w:bidi w:val="0"/>
        <w:spacing w:before="0" w:after="0"/>
        <w:ind w:left="144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greg@thefacehaus.com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Dechert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Bryant Park, 1095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Naz Zilkha</w:t>
        <w:br/>
        <w:t>Email:              naz.zilkha@dechert.com</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Guaranteed Party,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br/>
        <w:t>254 West 31st Street, 11th Floor</w:t>
        <w:br/>
        <w:t>New York, New York 10001</w:t>
        <w:br/>
        <w:t>Attention:       Ezra Ernst; Ian Brown</w:t>
        <w:br/>
        <w:t>E-mail:            eernst@xwell.com; ibrown@xwell.com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br/>
        <w:t>30 Rockefeller Plaza</w:t>
        <w:br/>
        <w:t>22nd Floor</w:t>
        <w:br/>
        <w:t>New York, New York 10112</w:t>
        <w:br/>
        <w:t>Attention:       Rick Werner and Zachary Jacobs</w:t>
        <w:br/>
        <w:t>E-mail:            Rick.Werner@haynesboone.com; Zachary.Jacobs@haynesboone.com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CONTINUING GUARANTEE</w:t>
      </w:r>
      <w:r>
        <w:rPr>
          <w:rFonts w:ascii="Times New Roman;Times;Serif" w:hAnsi="Times New Roman;Times;Serif"/>
          <w:b w:val="false"/>
          <w:i w:val="false"/>
          <w:caps w:val="false"/>
          <w:smallCaps w:val="false"/>
          <w:sz w:val="20"/>
        </w:rPr>
        <w:t xml:space="preserve">. Unless terminated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this Limited Guaranty shall remain in full force and effect and shall be binding on the Guarantor, its successors and assigns until the Obligations (as such Obligations may be modified pursuant to the last sentence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are satisfied in full. Notwithstanding the foregoing, this Limited Guaranty shall terminate, other than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xml:space="preserve">, all of which shall survive the termination of this Limited Guaranty, and the Guarantor shall have no further obligations under this Limited Guaranty as of the earliest of (a) the Closing, (b) receipt by the Guaranteed Party of the indefeasible payment in full of the Obligations and (c) the sixtieth (60th) day following any termination of the Purchase Agreement in accordance with its terms if, by such sixtieth (60th) day, the Guaranteed Party has not commenced a suit, action or other proceeding against the Buyer or Guarantor alleging that any payment in respect of any Obligations is due or against the Guarantor that amounts are due and owing from the Guarantor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Limited Guaranty (provided, that, (i) all obligations under this Limited Guarantee with respect to the Subject Obligations (defined below) shall terminate on the date that such claim is finally satisfied or otherwise resolved, and (ii) if any such suit action or other proceeding has commenced during such sixty (60) day period with respect to a particular Obligation (the “Subject Obligation) but not other Obligations (the “Other Obligations”), then the Guarantor shall have no further obligations under this Limited Guarantee with respect to the Other Obligations effective as of such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and (d) the date that is two (2) years after the date of termination of the Purchase Agreement. Notwithstanding the foregoing, in the event that the Guaranteed Party or any of its Affiliates asserts in writing in any litigation or other proceeding that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limiting the Guarantor’s liability to the Overall Cap or, with respect to the RTF Obligation to the RTF Cap or that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are illegal, invalid or unenforceable in whole or in part or asserts any theory of liability or seeks any remedies against any Guarantor/Buyer Affiliate (as defined below) with respect to the transactions contemplated by the Purchase Agreement other than those remedies expressly provided against the Buyer under the Purchase Agreement or against the Guarantor under this Limited Guaranty (as limited by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then (i) all obligations of the Guarantor under this Limited Guaranty shall terminate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be null and void, (ii) if the Guarantor has previously made any payments under this Limited Guaranty, it shall be entitled to recover such payments, and (iii) the Guarantor shall have no liability to the Guaranteed Party under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Limited Guaranty or any document or instrument delivered contemporaneously herewith, and notwithstanding the fact that the Guarantor or any of its successors or permitted assignees may be a partnership, a limited liability company or other legal entity, the Guaranteed Party, by its acceptance of the benefits hereof, covenants, agrees and acknowledges that no Person other than the Guarantor and its successors and permitted assignees shall have any obligation hereunder and that it has no rights of recovery against, and no recourse hereunder or under any documents or instruments delivered in connection herewith or in respect of any oral representations made or alleged to be made in connection herewith or therewith against, any former, current or future director, officer, employee, trustee, control person, agent, Affiliate, or assignee of the Guarantor or the Buyer (or any of their successors or permitted assignees), against any former, current or future general or limited partner, manager, member or stockholder of the Guarantor or the Buyer (or any of their successors or permitted assignees) or any Affiliate thereof or against any former, current or future director, officer, employee, trustee, control person, agent, Affiliate, assignee, general or limited partner, stockholder, manager or member of any of the foregoing (collectively, “</w:t>
      </w:r>
      <w:r>
        <w:rPr>
          <w:rFonts w:ascii="Times New Roman;Times;Serif" w:hAnsi="Times New Roman;Times;Serif"/>
          <w:b w:val="false"/>
          <w:i w:val="false"/>
          <w:caps w:val="false"/>
          <w:smallCaps w:val="false"/>
          <w:sz w:val="20"/>
          <w:u w:val="single"/>
        </w:rPr>
        <w:t>Guarantor/Buyer Affiliates</w:t>
      </w:r>
      <w:r>
        <w:rPr>
          <w:rFonts w:ascii="Times New Roman;Times;Serif" w:hAnsi="Times New Roman;Times;Serif"/>
          <w:b w:val="false"/>
          <w:i w:val="false"/>
          <w:caps w:val="false"/>
          <w:smallCaps w:val="false"/>
          <w:sz w:val="20"/>
        </w:rPr>
        <w:t xml:space="preserve">”), whether by or through attempted piercing of the corporate veil, by or through a claim (whether in tort, contract or otherwise), by or on behalf of the Buyer against the Guarantor/Buyer Affiliates, by the enforcement of any judgment or assessment or by any legal or equitable proceeding, or by virtue of any statute, regulation or other applicable Law, or otherwise; it being expressly agreed and acknowledged that no personal liability whatsoever shall attach to, be imposed on, or otherwise be incurred by any Guarantor/Buyer Affiliate, as such, for any obligations of the Guarantor under this Limited Guaranty or the transactions contemplated hereby, under any documents or instruments delivered in connection herewith, in respect of any oral representations made or alleged to be made in connection herewith or therewith, or for any claim (whether in tort, contract or otherwise) based on, in respect of, or by reason of, such obligations or their creation other than the Retained Claims (as defined below). The Guaranteed Party (for itself and its Affiliates) acknowledges and agrees that the Buyer has no assets and that no funds are expected to be contributed to the Buyer unless the Closing occurs;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sentence nor any other provision in this Limited Guaranty shall limit the Guaranteed Party’s remedies against Buyer or the Guarantor in respect of the Obligations. The Guaranteed Party further agrees that neither it nor any of its Affiliates have any right of recovery against the Guarantor/Buyer Affiliates through the Buyer, or otherwise, whether by piercing of the corporate veil, by a claim on behalf of the Buyer against the Guarantor/Buyer Affiliates, or otherwise, except for the rights under this Limited Guaranty (subject to the Overall Cap and, in the case of the RTF Obligation, to the RTF Cap and the other limitations described herein) and for the other Retained Claims. The sole and exclusive remedy of the Guaranteed Party and its Affiliates against the Guarantor and any Guarantor/Buyer Affiliates in respect of any liabilities or obligations arising under, or in connection with, the Purchase Agreement or the transactions contemplated thereby are claims of the Guaranteed Party (i) against the Guarantor under this Limited Guaranty, (ii) against the Guarantor under the Confidentiality Agreement, or (iii) against the Buyer under the Purchase Agreement (any claims under clauses (i) through (iii), collectively, the “</w:t>
      </w:r>
      <w:r>
        <w:rPr>
          <w:rFonts w:ascii="Times New Roman;Times;Serif" w:hAnsi="Times New Roman;Times;Serif"/>
          <w:b w:val="false"/>
          <w:i w:val="false"/>
          <w:caps w:val="false"/>
          <w:smallCaps w:val="false"/>
          <w:sz w:val="20"/>
          <w:u w:val="single"/>
        </w:rPr>
        <w:t>Retained Claims</w:t>
      </w:r>
      <w:r>
        <w:rPr>
          <w:rFonts w:ascii="Times New Roman;Times;Serif" w:hAnsi="Times New Roman;Times;Serif"/>
          <w:b w:val="false"/>
          <w:i w:val="false"/>
          <w:caps w:val="false"/>
          <w:smallCaps w:val="false"/>
          <w:sz w:val="20"/>
        </w:rPr>
        <w:t>”). The Guaranteed Party hereby covenants and agrees that it shall not institute, and it shall cause its Affiliates not to institute, any proceeding or bring any other claim arising under, or in connection with, the Purchase Agreement, the Confidentiality Agreement, or the transactions contemplated thereby, or in respect of any oral representations made or alleged to be made in connection therewith, against the Guarantor or any of the Guarantor/Buyer Affiliates, in each case except for Retained Claims. Nothing set forth in this Limited Guaranty shall affect or be construed to affect or be construed to confer or give any Person other than the Guaranteed Party (including any Person acting in a representative capacity) any rights or remedies against any Person other than the Guarantor as set forth herein (and subject to the limitations hereof). For the avoidance of doubt, in no event shall Guarantor have any obligation to make any payment hereunder at any time after the Buyer has made (or caused to have been made) the payments required to be made in accordance with Section 2.3(b) of the Purchase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This Limited Guaranty shall be treated as confidential and is being provided to the Guaranteed Party solely in connection with the Purchase Agreement. This Limited Guaranty may not be used, circulated, quoted or otherwise referred to in any document (other than as contemplated by the Purchase Agreement), except with the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the Guaranteed Party may disclose this Limited Guaranty to its officers, directors, advisors and other authorized representatives, and (b) the Guarantor may disclose this Limited Guaranty to its officers, directors, managers, advisors and other authorized representatives; and provided, further, that each party may disclose the existence and contents of this Limited Guaranty (i) to the extent required by applicable Law and (ii) in connection with the enforcement of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GOVERNING LAW; 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Limited Guaranty and all claims and causes of action based upon, arising out of or related to this Limited Guaranty or the transactions contemplated hereby, shall be governed by, and construed in accordance with, the internal Laws of the State of Delaware, without giving effect to any choice or conflict of laws provision or rule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suits, actions or Proceedings arising out of or relating to this Limited Guaranty shall be heard and determined in the Court of Chancery of the State of Delaware, in and for New Castle County (the “</w:t>
      </w:r>
      <w:r>
        <w:rPr>
          <w:rFonts w:ascii="Times New Roman;Times;Serif" w:hAnsi="Times New Roman;Times;Serif"/>
          <w:b w:val="false"/>
          <w:i w:val="false"/>
          <w:caps w:val="false"/>
          <w:smallCaps w:val="false"/>
          <w:sz w:val="20"/>
          <w:u w:val="single"/>
        </w:rPr>
        <w:t>Court of Chancery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(and only after) the Court of Chancery determines that they lack subject matter jurisdiction over any such legal action, suit or Proceeding, such legal action, suit or Proceeding shall be brought in the United States District Court for the District of Delaware (the “</w:t>
      </w:r>
      <w:r>
        <w:rPr>
          <w:rFonts w:ascii="Times New Roman;Times;Serif" w:hAnsi="Times New Roman;Times;Serif"/>
          <w:b w:val="false"/>
          <w:i w:val="false"/>
          <w:caps w:val="false"/>
          <w:smallCaps w:val="false"/>
          <w:sz w:val="20"/>
          <w:u w:val="single"/>
        </w:rPr>
        <w:t>District Court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if (and only after) both the Court of Chancery and the District Court determine that they lack subject matter jurisdiction over any such legal action, suit or Proceeding, such legal action, suit or Proceeding shall be brought in the Superior Court of the State of Delaware, in and for New Castle County (all such courts and in such order,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(ii) no party hereto shall attempt to deny or defeat such personal jurisdiction by motion or other request for leave from any Chosen Court and (iii) a final judgment in any action or proceeding shall be conclusive and may be enforced in other jurisdictions by suit on the judgment or in any other manner provided by Law. For the avoidance of doubt, each of the parties hereby irrevocably and unconditionally consents to submit to the sole and exclusive jurisdiction of the Chosen Courts and waives any objection to the laying of venue of any such litigation in the Chosen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the service of process outside the territorial jurisdiction of the Chosen Courts in any such Proceeding by mailing copies thereof by registered or certified United States mail, postage prepaid, return receipt requested, to its address as specified in or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However, the foregoing shall not limit the right of a party hereto to effect service of process on the other party hereto by any other legally available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PARTIES HERETO IRREVOCABLY WAIVES ANY AND ALL RIGHT TO TRIAL BY JURY IN ANY PROCEEDING BETWEEN THE PARTIES ARISING OUT OF OR RELATING TO THIS LIMITED GUARANTY, THE PURCHASE AGREEMENT, THE OTHER TRANSACTION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Limited Guaranty constitutes the entire agreement with respect to the subject matter hereof and supersedes any and all prior discussions, negotiations, proposals, undertakings and agreements, whether written or oral, among the Buyer and the Guarantor or any of their Affiliates, on the one hand, and the Guaranteed Party and any of its Affiliates, on the other hand, except for the Purchase Agreement, the other Transaction Documents and the other agreements related thereto and entered into on the date hereof.</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for the rights of the Guarantor/Buyer Affiliates provided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parties hereby agree that their respective representations, warranties and covenants set forth herein are solely for the benefit of the other party hereto, in accordance with and subject to the terms of this Limited Guaranty, and this Limited Guaranty is not intended to, and does not, confer upon any Person other than the parties hereto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waiver of any provision of this Limited Guaranty will be valid and binding unless it is in writing and signed by the Guarantor and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All parties acknowledge that each party and its counsel have reviewed this Limited Guaranty and that any rule of construction to the effect that any ambiguities are to be resolved against the drafting party shall not be employed in the interpretation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sz w:val="20"/>
          <w:u w:val="single"/>
        </w:rPr>
        <w:t>COSTS AND EXPENSES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In any action at law or suit in equity to enforce this Limited Guaranty or the rights of any of the parties hereunder, the prevailing party in such action or suit shall be entitled to recover from the non-prevailing party its reasonable and documented attorney’s fees and all other reasonable out-of-pocket costs and expenses incurred in such action or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Limited Guaranty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ADDITIONAL AGREEMENTS OF GUARANTOR</w:t>
      </w:r>
      <w:r>
        <w:rPr>
          <w:rFonts w:ascii="Times New Roman;Times;Serif" w:hAnsi="Times New Roman;Times;Serif"/>
          <w:b w:val="false"/>
          <w:i w:val="false"/>
          <w:caps w:val="false"/>
          <w:smallCaps w:val="false"/>
          <w:sz w:val="20"/>
        </w:rPr>
        <w:t xml:space="preserve">. Prior to the termination of this Limited Guaranty in accordance with Section 8, Guarantor shall not consolidate with or merge into any other Person unless the Guarantor is the continuing or surviving entity, and shall not transfer or convey all or substantially all of its properties or assets to any Person unless, prior thereto, such continuing, surviving or transferee Person expressly assumes in writing all obligations of the Guarantor under this Limited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transaction shall release, discharge, limit or otherwise affect the Guarantor’s obligations under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340" w:type="dxa"/>
        <w:jc w:val="left"/>
        <w:tblInd w:w="0" w:type="dxa"/>
        <w:tblLayout w:type="fixed"/>
        <w:tblCellMar>
          <w:top w:w="0" w:type="dxa"/>
          <w:left w:w="0" w:type="dxa"/>
          <w:bottom w:w="0" w:type="dxa"/>
          <w:right w:w="0" w:type="dxa"/>
        </w:tblCellMar>
      </w:tblPr>
      <w:tblGrid>
        <w:gridCol w:w="75"/>
        <w:gridCol w:w="320"/>
        <w:gridCol w:w="545"/>
        <w:gridCol w:w="1400"/>
      </w:tblGrid>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FACE HAUS LLC</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Greogry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Guaranteed Party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PARTY: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75"/>
        <w:gridCol w:w="500"/>
        <w:gridCol w:w="7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B-10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6" w:name="annexb_006"/>
      <w:bookmarkEnd w:id="76"/>
      <w:r>
        <w:rPr>
          <w:rFonts w:ascii="Times New Roman;Times;Serif" w:hAnsi="Times New Roman;Times;Serif"/>
          <w:b/>
          <w:i w:val="false"/>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3333750" cy="7524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333750"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 (“Roth,” “us” or “we”) understands that XWELL, Inc., a Delaware corporation (the “Company”), proposes to enter into a Securities Purchase Agreement (the “Purchase Agreement”), by and among the Company, XpresSpa Holdings, LLC, a Delaware limited liability company (“XpresSpa”), XpresTest, Inc., a Delaware corporation (“XpresTest” and, together with XpresSpa and the Company, the “Companies”), and Express Wellness Group, LLC, a Delaware limited liability company (the “Buyer”), substantially in the form of the draft provided to Roth on July 1, 2026 (the “Draft Purchase Agreement”). Capitalized terms not otherwise defined herein shall have the meanings ascribed to them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specifically set forth in the Purchase Agreement and the other agreements to be executed in connection therewith, and subject to the terms, conditions and adjustments set forth therein, the Company proposes to sell to the Buyer, and the Buyer proposes to acquire, all of the Company’s issued and outstanding equity interests of XpresSpa and XpresTest (such equity interests, the “Purchased Equity”). Buyer will as a result acquire the airport spa business conducted by XpresSpa and the biosurveillance and testing business conducted by XpresTest (the “Business”), following completion of the Pre-Closing Reorganization contemplated by the Purchase Agreement (the “Transaction”). In consideration for the Purchased Equity, the Buyer will pay a base purchase price of $13,000,000, subject to customary adjustments for closing cash, indebtedness, net working capital and transaction expenses (the “Consideration”). $2,650,000 of the Consideration will be placed into various escrows at the Closing (“Escrowed Consideration) to provide security for various ways in which the Consideration is subject to adjustments per the terms of the Purchase Agreement (“Consideration Adjustments”). In connection with the execution of the Purchase Agreement, Face Haus LLC (the “Guarantor”) is delivering a Limited Guaranty in respect of Buyer’s obligations to pay a reverse termination fee under certain circumstances. Consummation of the Transaction is subject to approval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asked us to render an opinion, as of the date hereof, as to the fairness, from a financial point of view, to the Company of the Consideration to be received by the Company pursuant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herein, we have, among other things:</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4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5690" w:type="dxa"/>
            <w:tcBorders/>
            <w:vAlign w:val="center"/>
          </w:tcPr>
          <w:p>
            <w:pPr>
              <w:pStyle w:val="TableContents"/>
              <w:bidi w:val="0"/>
              <w:spacing w:before="0" w:after="283"/>
              <w:jc w:val="left"/>
              <w:rPr/>
            </w:pPr>
            <w:r>
              <w:rPr/>
              <w:t>reviewed the Draft Purchase Agreement dated July 3, 2026;</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t>reviewed certain publicly available information relating to the Company, including (i) reported prices and trading activity for the Company's common stock over the twelve-month period preceding the date hereof, and (ii) the Company's Annual Report on Form 10-K for the fiscal year ended December 31, 2025, and its Quarterly Report on Form 10-Q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t>reviewed six-year consolidated and segmented financial projections for the Company for the fiscal years ending December 31, 2026 through December 31, 2031, and a liquidation analysis based on the Company's consolidated balance sheet as of March 31, 2026, in each case furnished to us by the Board of Directors of the Company (“Board of Directors”) from the management team of the Company;</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left"/>
              <w:rPr/>
            </w:pPr>
            <w:r>
              <w:rPr/>
              <w:t>conducted discussions with members of the senior management of the Company concerning the business, operations, financial condition and prospects of the Company, the financial projections and liquidation analysis referred to in clause (iii), the scope of the assets and liabilities included in and excluded from the Transaction, and the Pre-Closing Reorganization;</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left"/>
              <w:rPr/>
            </w:pPr>
            <w:r>
              <w:rPr/>
              <w:t>performed a discounted cash flow analysis of the Company based on the financial projections referenced in clause (iii);</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7" w:type="dxa"/>
            <w:tcBorders/>
            <w:vAlign w:val="center"/>
          </w:tcPr>
          <w:p>
            <w:pPr>
              <w:pStyle w:val="TableContents"/>
              <w:bidi w:val="0"/>
              <w:spacing w:before="0" w:after="283"/>
              <w:jc w:val="left"/>
              <w:rPr/>
            </w:pPr>
            <w:r>
              <w:rPr/>
              <w:t>reviewed and compared certain publicly available financial, market and operating information of selected publicly traded companies, and reviewed the financial terms of selected precedent transactions, in each case that we deemed relevant to the Company and the Transaction;</w:t>
            </w:r>
          </w:p>
        </w:tc>
      </w:tr>
    </w:tbl>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7" w:type="dxa"/>
            <w:tcBorders/>
            <w:vAlign w:val="center"/>
          </w:tcPr>
          <w:p>
            <w:pPr>
              <w:pStyle w:val="TableContents"/>
              <w:bidi w:val="0"/>
              <w:spacing w:before="0" w:after="283"/>
              <w:jc w:val="left"/>
              <w:rPr/>
            </w:pPr>
            <w:r>
              <w:rPr/>
              <w:t>participated in discussions with representatives of the Board of Directors of the Company and its legal advisors regarding the Transaction, the terms of the Purchase Agreement (including the purchase price adjustment, escrow and indemnification provisions), and certain other matters we deemed relevant for purposes of rendering this opinion</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7" w:type="dxa"/>
            <w:tcBorders/>
            <w:vAlign w:val="center"/>
          </w:tcPr>
          <w:p>
            <w:pPr>
              <w:pStyle w:val="TableContents"/>
              <w:bidi w:val="0"/>
              <w:spacing w:before="0" w:after="283"/>
              <w:jc w:val="left"/>
              <w:rPr/>
            </w:pPr>
            <w:r>
              <w:rPr/>
              <w:t>we assumed, as directed and with the consent of XWEL’s management and Board of Directors, that there will be no Consideration Adjustments and that all of the Escrowed Funds will be released to XWEL when the relevant periods for their retention expire;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7" w:type="dxa"/>
            <w:tcBorders/>
            <w:vAlign w:val="center"/>
          </w:tcPr>
          <w:p>
            <w:pPr>
              <w:pStyle w:val="TableContents"/>
              <w:bidi w:val="0"/>
              <w:spacing w:before="0" w:after="283"/>
              <w:jc w:val="left"/>
              <w:rPr/>
            </w:pPr>
            <w:r>
              <w:rPr/>
              <w:t>performed such other analyses, including detailed financial analyses, and considered such other factors as we deemed appropriate for the purpose of reviewing the proposed Transaction and rendering this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accuracy and completeness of the information that was publicly available or supplied or otherwise made available to us by or through the Board of Directors. We have further relied upon the assurances of the management of the Company that such information does not contain any untrue statement of a material fact or omit to state a material fact required to be stated therein or necessary to make the statements contained therein not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financial projections of the Business, we have been advised by the management of the Company, and we have assumed, with your consent, that such projections have been reasonably prepared on bases reflecting the best currently available estimates and judgments of the management of the Company of the future financial performance of the Business. We express no view as to the assumptions on which such projections are based or the assumed probabilities associated with future events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direction of the Company's management, we have assumed that the assets and operations to be retained by the Company following the Transaction (including its non-airport health and wellness retail operations and the retained Naples Wax operations) have de minimis value, and accordingly we have analyzed the Consideration as if all of the assets of the Company were sold in the Transaction. Also, at the direction of the Company’s management, for purposes of our analysis we have treated the Company's consolidated financial information and projections as representative of the Business because the retained assets and operations have been assumed by the Company’s management to have de minimis value. We have further assumed, at the direction of the Company's management, that substantially all of the Company's cash is attributable to the Business and, other than any minimum cash required to remain in the Business at the Closing, will be swept out of the Business prior to the Closing, and accordingly our financial analyses value the Business on a cash-free basis. We have been advised by the Company's management, and have assumed, that the Company's existing cash and the net proceeds of the Transaction will be retained by the Company for general corporate purposes, including potential future acquisitions and other strategic transactions, and will not be distributed to the Company's stockholders. We express no view as to the value of any retained assets or operations of the Company, the retention, deployment or use of the Company's cash or the net proceeds of the Transaction, or the value, if any, ultimately realized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does not address the allocation of the Consideration among the Company and the holders of any equity awards of XpresTest, the Company's use of proceeds, or the amount, timing or manner of any distribution of the proceeds of the Transaction to the Company's stockholders. We express no view or opinion as to the amount of any post-closing purchase price adjustment, the release, retention, offset or application of any escrowed amounts, the incurrence or satisfaction of any indemnification obligations, the obligations relating to the arbitration award involving Cordial Endeavor Concessions, or whether any escrowed, adjustment or other amounts will ultimately be received or retained by the Company or distributed to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that the final executed Purchase Agreement will not differ in any material respect from the Draft Purchase Agreement reviewed by us and that the Transaction will be consummated in accordance with the terms set forth in the Purchase Agreement without any waiver, amendment or delay of any terms or conditions. We have also assumed that, in connection with the receipt of all necessary governmental, regulatory or other approvals and consents (including any required lease or concession consents) required for the proposed Transaction, no delays, limitations, conditions or restrictions will be imposed that would have a material adverse effect on the Company or the Business or the contemplated benefits expected to be derived from the proposed Transaction. We express no opinion as to the availability, terms or sufficiency of any financing to be obtained by the Buyer, or as to the Buyer's or the Guarantor's ability to fund or consummate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legal, tax, accounting or regulatory advisors. We have relied upon, without independent verification, the assessment of the Company and its legal, tax, accounting and regulatory advisors with respect to legal, tax, accounting and regulatory matters. In arriving at our opinion, we have not performed any appraisals or valuations of any specific assets or liabilities (fixed, contingent or other) of the Company or the Business and have not been furnished or provided with any such appraisals or valuations. Without limiting the generality of the foregoing, we have undertaken no independent analysis of any pending or threatened litigation, regulatory action, possible unasserted claims or other contingent liabilities, to which the Companies or any of their respective affiliates is a party or may be subject, and at your direction, our opinion makes no assumption concerning, and therefore does not consider, the possible assertion of claims, outcomes or damages arising out of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addresses only the fairness, from a financial point of view, as of the date hereof, to the Company of the Consideration to be received by the Company pursuant to the Transaction. Our opinion does not in any manner address any other aspect or implication of the Purchase Agreement or any agreement, arrangement or understanding entered into in connection with the Purchase Agreement or otherwise, including, without limitation: the basic business decision to proceed with or effect the Transaction; the independent fair value of the Company or the Business; the relative merits of the Transaction as compared to any alternative business strategies that might exist for the Company; the underlying business decision of the Company to proceed with the Transaction; the effects of any other transaction in which the Company might engage; the retained businesses and assets of the Company; or the fairness of the amount or nature of any compensation to, or any employment, retention, equity or other arrangements with, any officers, directors or employees of any party to the Purchase Agreement, or any class of such persons, relative to the Consideration contemplated by the Purchase Agreement or otherwise. In addition, our opinion does not address the solvency or viability of the Company or the Buyer before or after the consummation of the Transaction, or the prices at which the Company's securities may trade at any time. We express no opinion as to the underlying valuation or future performance of the Company or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this opinion was approved by an authorized internal fairness committee of Roth in accordance with our customary practice. Our opinion is necessarily based on the economic, monetary, market, financial and other conditions as they exist and can be evaluated, and the information made available to us, as of the date hereof. It should be understood that, although subsequent developments or events may affect various assumptions used by us in preparing our opinion, we do not have any obligation to update, revise or reaffirm our opinion based on such developments, events or otherwise and we expressly disclaim any responsibility to do so. Our opinion does not address any legal, tax or 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has been engaged by the Board of Directors to render this opinion to the Board of Directors, and we will receive a fee for our services in connection with the rendering of this opinion, which fee will be payable upon delivery of this opinion and is not contingent upon our conclusion as to fairness or upon consummation of the Transaction. The Company has also agreed to reimburse our expenses and to indemnify us for certain liabilities arising out of our engagement. Except as described above, we will not receive any other compensation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in connection with performing and rendering our services to the Board of Directors, we were not authorized by the Board of Directors to solicit, and did not solicit, expressions of interest from other parties with respect to a transaction involving the Company or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we and our affiliates may acquire, hold or sell, for our and our affiliates' own accounts and for the accounts of customers, equity, debt and other securities and financial instruments of the Company, the Buyer and the other parties to the Transaction, and, accordingly, may at any time hold a long or short position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engagement, during the two years preceding the date hereof, Roth has not had any material relationship with, nor otherwise received any fees from, the Company, the Buyer, the Guarantor, American Ventures LLC or any other party to the Transaction, nor is any such material relationship or related compensation mutually understood to be contemplated. Consistent with applicable legal and regulatory requirements, Roth has adopted policies and procedures to establish and maintain the independence of our research departments and personnel. As a result, our research analysts may hold views, make statements or investment recommendations and/or public research reports with respect to the Company or the Transaction that differ from the views of our investment banking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has been prepared for the information of the Board of Directors for its use in connection with its consideration of the Transaction, and is not intended to be and does not constitute a recommendation to any stockholder of the Company as to how such stockholder should vote on any matter relating to the Transaction or any other Matter. Except as described below, this opinion shall not be disclosed, referred to or published (in whole or in part), nor shall any public reference to us be made, without our prior written approval. The Board of Directors may furnish copies of this letter to the Board of Directors' legal counsel and may include this letter in its entirety in any filing the Company is required to make with the Securities and Exchange Commission in connection with the Transaction in accordance with the terms of our engagement letter with the Board of Directors, if such inclusion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as of the date hereof, that the Consideration to be received by the Company pursuant to the Purchase Agreement is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15"/>
        <w:gridCol w:w="60"/>
      </w:tblGrid>
      <w:tr>
        <w:trPr/>
        <w:tc>
          <w:tcPr>
            <w:tcW w:w="1715" w:type="dxa"/>
            <w:tcBorders>
              <w:bottom w:val="single" w:sz="8" w:space="0" w:color="000000"/>
            </w:tcBorders>
            <w:vAlign w:val="center"/>
          </w:tcPr>
          <w:p>
            <w:pPr>
              <w:pStyle w:val="TableContents"/>
              <w:bidi w:val="0"/>
              <w:spacing w:before="0" w:after="283"/>
              <w:jc w:val="left"/>
              <w:rPr/>
            </w:pPr>
            <w:r>
              <w:rPr/>
              <w:t>/s/ Alex Stoyanov</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i w:val="false"/>
          <w:caps w:val="false"/>
          <w:smallCaps w:val="false"/>
          <w:sz w:val="20"/>
        </w:rPr>
      </w:pPr>
      <w:bookmarkStart w:id="77" w:name="annexb_007"/>
      <w:bookmarkEnd w:id="77"/>
      <w:r>
        <w:rPr>
          <w:rFonts w:ascii="Times New Roman;Times;Serif" w:hAnsi="Times New Roman;Times;Serif"/>
          <w:b/>
          <w:i w:val="false"/>
          <w:caps w:val="false"/>
          <w:smallCaps w:val="false"/>
          <w:sz w:val="20"/>
        </w:rPr>
        <w:t>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305"/>
        <w:gridCol w:w="590"/>
      </w:tblGrid>
      <w:tr>
        <w:trPr/>
        <w:tc>
          <w:tcPr>
            <w:tcW w:w="63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 the quarter ended June 30, 2026, and 2025</w:t>
            </w:r>
            <w:r>
              <w:rPr>
                <w:rFonts w:ascii="Times New Roman;Times;Serif" w:hAnsi="Times New Roman;Times;Serif"/>
                <w:b w:val="false"/>
                <w:i w:val="false"/>
                <w:caps w:val="false"/>
                <w:smallCaps w:val="false"/>
                <w:sz w:val="20"/>
              </w:rPr>
              <w:t xml:space="preserve"> </w:t>
            </w:r>
          </w:p>
        </w:tc>
        <w:tc>
          <w:tcPr>
            <w:tcW w:w="590" w:type="dxa"/>
            <w:tcBorders/>
            <w:shd w:fill="FFFFFF" w:val="clear"/>
            <w:vAlign w:val="center"/>
          </w:tcPr>
          <w:p>
            <w:pPr>
              <w:pStyle w:val="TableContents"/>
              <w:bidi w:val="0"/>
              <w:spacing w:before="0" w:after="283"/>
              <w:jc w:val="center"/>
              <w:rPr/>
            </w:pPr>
            <w:r>
              <w:rPr>
                <w:b/>
                <w:u w:val="single"/>
              </w:rPr>
              <w:t>Page</w:t>
            </w:r>
            <w:r>
              <w:rPr/>
              <w:t xml:space="preserve"> </w:t>
            </w:r>
          </w:p>
        </w:tc>
      </w:tr>
      <w:tr>
        <w:trPr/>
        <w:tc>
          <w:tcPr>
            <w:tcW w:w="63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center"/>
              <w:rPr/>
            </w:pPr>
            <w:r>
              <w:rPr/>
              <w:t> </w:t>
            </w:r>
          </w:p>
        </w:tc>
      </w:tr>
      <w:tr>
        <w:trPr/>
        <w:tc>
          <w:tcPr>
            <w:tcW w:w="6305" w:type="dxa"/>
            <w:tcBorders/>
            <w:shd w:fill="CCEEFF" w:val="clear"/>
            <w:vAlign w:val="center"/>
          </w:tcPr>
          <w:p>
            <w:pPr>
              <w:pStyle w:val="TableContents"/>
              <w:bidi w:val="0"/>
              <w:spacing w:before="0" w:after="283"/>
              <w:jc w:val="both"/>
              <w:rPr/>
            </w:pPr>
            <w:hyperlink w:anchor="q_001">
              <w:r>
                <w:rPr>
                  <w:rStyle w:val="InternetLink"/>
                  <w:rFonts w:ascii="Times New Roman;Times;Serif" w:hAnsi="Times New Roman;Times;Serif"/>
                  <w:b w:val="false"/>
                  <w:i w:val="false"/>
                  <w:caps w:val="false"/>
                  <w:smallCaps w:val="false"/>
                  <w:sz w:val="20"/>
                </w:rPr>
                <w:t>Consolidated Balance Sheets (Unaudited)</w:t>
              </w:r>
            </w:hyperlink>
          </w:p>
        </w:tc>
        <w:tc>
          <w:tcPr>
            <w:tcW w:w="590" w:type="dxa"/>
            <w:tcBorders/>
            <w:shd w:fill="CCEEFF" w:val="clear"/>
            <w:vAlign w:val="center"/>
          </w:tcPr>
          <w:p>
            <w:pPr>
              <w:pStyle w:val="TableContents"/>
              <w:bidi w:val="0"/>
              <w:spacing w:before="0" w:after="283"/>
              <w:jc w:val="center"/>
              <w:rPr/>
            </w:pPr>
            <w:hyperlink w:anchor="q_001">
              <w:r>
                <w:rPr>
                  <w:rStyle w:val="InternetLink"/>
                </w:rPr>
                <w:t>D-2</w:t>
              </w:r>
            </w:hyperlink>
          </w:p>
        </w:tc>
      </w:tr>
      <w:tr>
        <w:trPr/>
        <w:tc>
          <w:tcPr>
            <w:tcW w:w="6305" w:type="dxa"/>
            <w:tcBorders/>
            <w:shd w:fill="FFFFFF" w:val="clear"/>
            <w:vAlign w:val="center"/>
          </w:tcPr>
          <w:p>
            <w:pPr>
              <w:pStyle w:val="TableContents"/>
              <w:bidi w:val="0"/>
              <w:spacing w:before="0" w:after="283"/>
              <w:jc w:val="both"/>
              <w:rPr/>
            </w:pPr>
            <w:hyperlink w:anchor="q_002">
              <w:r>
                <w:rPr>
                  <w:rStyle w:val="InternetLink"/>
                  <w:rFonts w:ascii="Times New Roman;Times;Serif" w:hAnsi="Times New Roman;Times;Serif"/>
                  <w:b w:val="false"/>
                  <w:i w:val="false"/>
                  <w:caps w:val="false"/>
                  <w:smallCaps w:val="false"/>
                  <w:sz w:val="20"/>
                </w:rPr>
                <w:t>Consolidated Statements of Operations and Comprehensive Loss (Unaudited)</w:t>
              </w:r>
            </w:hyperlink>
          </w:p>
        </w:tc>
        <w:tc>
          <w:tcPr>
            <w:tcW w:w="590" w:type="dxa"/>
            <w:tcBorders/>
            <w:shd w:fill="FFFFFF" w:val="clear"/>
            <w:vAlign w:val="center"/>
          </w:tcPr>
          <w:p>
            <w:pPr>
              <w:pStyle w:val="TableContents"/>
              <w:bidi w:val="0"/>
              <w:spacing w:before="0" w:after="283"/>
              <w:jc w:val="center"/>
              <w:rPr/>
            </w:pPr>
            <w:hyperlink w:anchor="q_002">
              <w:r>
                <w:rPr>
                  <w:rStyle w:val="InternetLink"/>
                </w:rPr>
                <w:t>D-3</w:t>
              </w:r>
            </w:hyperlink>
          </w:p>
        </w:tc>
      </w:tr>
      <w:tr>
        <w:trPr/>
        <w:tc>
          <w:tcPr>
            <w:tcW w:w="6305" w:type="dxa"/>
            <w:tcBorders/>
            <w:shd w:fill="CCEEFF" w:val="clear"/>
            <w:vAlign w:val="center"/>
          </w:tcPr>
          <w:p>
            <w:pPr>
              <w:pStyle w:val="TableContents"/>
              <w:bidi w:val="0"/>
              <w:spacing w:before="0" w:after="283"/>
              <w:jc w:val="both"/>
              <w:rPr/>
            </w:pPr>
            <w:hyperlink w:anchor="new_001">
              <w:r>
                <w:rPr>
                  <w:rStyle w:val="InternetLink"/>
                  <w:rFonts w:ascii="Times New Roman;Times;Serif" w:hAnsi="Times New Roman;Times;Serif"/>
                  <w:b w:val="false"/>
                  <w:i w:val="false"/>
                  <w:caps w:val="false"/>
                  <w:smallCaps w:val="false"/>
                  <w:sz w:val="20"/>
                </w:rPr>
                <w:t>Consolidated Statements of Changes in Equity (Unaudited)</w:t>
              </w:r>
            </w:hyperlink>
          </w:p>
        </w:tc>
        <w:tc>
          <w:tcPr>
            <w:tcW w:w="590" w:type="dxa"/>
            <w:tcBorders/>
            <w:shd w:fill="CCEEFF" w:val="clear"/>
            <w:vAlign w:val="center"/>
          </w:tcPr>
          <w:p>
            <w:pPr>
              <w:pStyle w:val="TableContents"/>
              <w:bidi w:val="0"/>
              <w:spacing w:before="0" w:after="283"/>
              <w:jc w:val="center"/>
              <w:rPr/>
            </w:pPr>
            <w:hyperlink w:anchor="new_001">
              <w:r>
                <w:rPr>
                  <w:rStyle w:val="InternetLink"/>
                </w:rPr>
                <w:t>D-4</w:t>
              </w:r>
            </w:hyperlink>
          </w:p>
        </w:tc>
      </w:tr>
      <w:tr>
        <w:trPr/>
        <w:tc>
          <w:tcPr>
            <w:tcW w:w="6305" w:type="dxa"/>
            <w:tcBorders/>
            <w:shd w:fill="FFFFFF" w:val="clear"/>
            <w:vAlign w:val="center"/>
          </w:tcPr>
          <w:p>
            <w:pPr>
              <w:pStyle w:val="TableContents"/>
              <w:bidi w:val="0"/>
              <w:spacing w:before="0" w:after="283"/>
              <w:jc w:val="both"/>
              <w:rPr/>
            </w:pPr>
            <w:hyperlink w:anchor="new_002">
              <w:r>
                <w:rPr>
                  <w:rStyle w:val="InternetLink"/>
                  <w:rFonts w:ascii="Times New Roman;Times;Serif" w:hAnsi="Times New Roman;Times;Serif"/>
                  <w:b w:val="false"/>
                  <w:i w:val="false"/>
                  <w:caps w:val="false"/>
                  <w:smallCaps w:val="false"/>
                  <w:sz w:val="20"/>
                </w:rPr>
                <w:t>Consolidated Statements of Cash Flows (Unaudited)</w:t>
              </w:r>
            </w:hyperlink>
          </w:p>
        </w:tc>
        <w:tc>
          <w:tcPr>
            <w:tcW w:w="590" w:type="dxa"/>
            <w:tcBorders/>
            <w:shd w:fill="FFFFFF" w:val="clear"/>
            <w:vAlign w:val="center"/>
          </w:tcPr>
          <w:p>
            <w:pPr>
              <w:pStyle w:val="TableContents"/>
              <w:bidi w:val="0"/>
              <w:spacing w:before="0" w:after="283"/>
              <w:jc w:val="center"/>
              <w:rPr/>
            </w:pPr>
            <w:hyperlink w:anchor="new_002">
              <w:r>
                <w:rPr>
                  <w:rStyle w:val="InternetLink"/>
                </w:rPr>
                <w:t>D-6</w:t>
              </w:r>
            </w:hyperlink>
          </w:p>
        </w:tc>
      </w:tr>
      <w:tr>
        <w:trPr/>
        <w:tc>
          <w:tcPr>
            <w:tcW w:w="6305" w:type="dxa"/>
            <w:tcBorders/>
            <w:shd w:fill="CCEEFF" w:val="clear"/>
            <w:vAlign w:val="center"/>
          </w:tcPr>
          <w:p>
            <w:pPr>
              <w:pStyle w:val="TableContents"/>
              <w:bidi w:val="0"/>
              <w:spacing w:before="0" w:after="283"/>
              <w:jc w:val="both"/>
              <w:rPr/>
            </w:pPr>
            <w:hyperlink w:anchor="new_003">
              <w:r>
                <w:rPr>
                  <w:rStyle w:val="InternetLink"/>
                  <w:rFonts w:ascii="Times New Roman;Times;Serif" w:hAnsi="Times New Roman;Times;Serif"/>
                  <w:b w:val="false"/>
                  <w:i w:val="false"/>
                  <w:caps w:val="false"/>
                  <w:smallCaps w:val="false"/>
                  <w:sz w:val="20"/>
                </w:rPr>
                <w:t>Notes to the Consolidated Financial Statements (Unaudited)</w:t>
              </w:r>
            </w:hyperlink>
          </w:p>
        </w:tc>
        <w:tc>
          <w:tcPr>
            <w:tcW w:w="590" w:type="dxa"/>
            <w:tcBorders/>
            <w:shd w:fill="CCEEFF" w:val="clear"/>
            <w:vAlign w:val="center"/>
          </w:tcPr>
          <w:p>
            <w:pPr>
              <w:pStyle w:val="TableContents"/>
              <w:bidi w:val="0"/>
              <w:spacing w:before="0" w:after="283"/>
              <w:jc w:val="center"/>
              <w:rPr/>
            </w:pPr>
            <w:hyperlink w:anchor="new_003">
              <w:r>
                <w:rPr>
                  <w:rStyle w:val="InternetLink"/>
                </w:rPr>
                <w:t>D-7</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8390"/>
        <w:gridCol w:w="455"/>
      </w:tblGrid>
      <w:tr>
        <w:trPr/>
        <w:tc>
          <w:tcPr>
            <w:tcW w:w="839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For the year ended December 31, 2025, and 2024</w:t>
            </w:r>
          </w:p>
        </w:tc>
        <w:tc>
          <w:tcPr>
            <w:tcW w:w="4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w:t>
            </w:r>
          </w:p>
        </w:tc>
      </w:tr>
      <w:tr>
        <w:trPr/>
        <w:tc>
          <w:tcPr>
            <w:tcW w:w="8390"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8390" w:type="dxa"/>
            <w:tcBorders/>
            <w:shd w:fill="CCEEFF" w:val="clear"/>
            <w:vAlign w:val="center"/>
          </w:tcPr>
          <w:p>
            <w:pPr>
              <w:pStyle w:val="TableContents"/>
              <w:bidi w:val="0"/>
              <w:spacing w:before="0" w:after="283"/>
              <w:jc w:val="both"/>
              <w:rPr/>
            </w:pPr>
            <w:hyperlink w:anchor="note2_001">
              <w:r>
                <w:rPr>
                  <w:rStyle w:val="InternetLink"/>
                  <w:rFonts w:ascii="Times New Roman;Times;Serif" w:hAnsi="Times New Roman;Times;Serif"/>
                  <w:sz w:val="20"/>
                </w:rPr>
                <w:t>Report of Independent Registered Public Accounting Firm</w:t>
              </w:r>
            </w:hyperlink>
            <w:hyperlink w:anchor="note2_001">
              <w:r>
                <w:rPr>
                  <w:rStyle w:val="InternetLink"/>
                </w:rPr>
                <w:t xml:space="preserve"> (CBIZ CPAs P.C. PCAOB ID #199)</w:t>
              </w:r>
            </w:hyperlink>
          </w:p>
        </w:tc>
        <w:tc>
          <w:tcPr>
            <w:tcW w:w="455" w:type="dxa"/>
            <w:tcBorders/>
            <w:shd w:fill="CCEEFF" w:val="clear"/>
            <w:vAlign w:val="center"/>
          </w:tcPr>
          <w:p>
            <w:pPr>
              <w:pStyle w:val="TableContents"/>
              <w:bidi w:val="0"/>
              <w:spacing w:before="0" w:after="283"/>
              <w:jc w:val="center"/>
              <w:rPr/>
            </w:pPr>
            <w:hyperlink w:anchor="note2_001">
              <w:r>
                <w:rPr>
                  <w:rStyle w:val="InternetLink"/>
                  <w:rFonts w:ascii="Times New Roman;Times;Serif" w:hAnsi="Times New Roman;Times;Serif"/>
                  <w:sz w:val="20"/>
                </w:rPr>
                <w:t>D-25</w:t>
              </w:r>
            </w:hyperlink>
          </w:p>
        </w:tc>
      </w:tr>
      <w:tr>
        <w:trPr/>
        <w:tc>
          <w:tcPr>
            <w:tcW w:w="8390" w:type="dxa"/>
            <w:tcBorders/>
            <w:shd w:fill="FFFFFF" w:val="clear"/>
            <w:vAlign w:val="center"/>
          </w:tcPr>
          <w:p>
            <w:pPr>
              <w:pStyle w:val="TableContents"/>
              <w:bidi w:val="0"/>
              <w:spacing w:before="0" w:after="283"/>
              <w:jc w:val="both"/>
              <w:rPr/>
            </w:pPr>
            <w:hyperlink w:anchor="note2_002">
              <w:r>
                <w:rPr>
                  <w:rStyle w:val="InternetLink"/>
                  <w:rFonts w:ascii="Times New Roman;Times;Serif" w:hAnsi="Times New Roman;Times;Serif"/>
                  <w:sz w:val="20"/>
                </w:rPr>
                <w:t>Report of Independent Registered Public Accounting Firm</w:t>
              </w:r>
            </w:hyperlink>
            <w:hyperlink w:anchor="note2_002">
              <w:r>
                <w:rPr>
                  <w:rStyle w:val="InternetLink"/>
                </w:rPr>
                <w:t xml:space="preserve"> (Marcum LLP PCAOB ID #688)</w:t>
              </w:r>
            </w:hyperlink>
          </w:p>
        </w:tc>
        <w:tc>
          <w:tcPr>
            <w:tcW w:w="455" w:type="dxa"/>
            <w:tcBorders/>
            <w:shd w:fill="FFFFFF" w:val="clear"/>
            <w:vAlign w:val="center"/>
          </w:tcPr>
          <w:p>
            <w:pPr>
              <w:pStyle w:val="TableContents"/>
              <w:bidi w:val="0"/>
              <w:spacing w:before="0" w:after="283"/>
              <w:jc w:val="center"/>
              <w:rPr/>
            </w:pPr>
            <w:hyperlink w:anchor="note2_002">
              <w:r>
                <w:rPr>
                  <w:rStyle w:val="InternetLink"/>
                  <w:rFonts w:ascii="Times New Roman;Times;Serif" w:hAnsi="Times New Roman;Times;Serif"/>
                  <w:sz w:val="20"/>
                </w:rPr>
                <w:t>D-27</w:t>
              </w:r>
            </w:hyperlink>
          </w:p>
        </w:tc>
      </w:tr>
      <w:tr>
        <w:trPr/>
        <w:tc>
          <w:tcPr>
            <w:tcW w:w="8390" w:type="dxa"/>
            <w:tcBorders/>
            <w:shd w:fill="CCEEFF" w:val="clear"/>
            <w:vAlign w:val="center"/>
          </w:tcPr>
          <w:p>
            <w:pPr>
              <w:pStyle w:val="TableContents"/>
              <w:bidi w:val="0"/>
              <w:spacing w:before="0" w:after="283"/>
              <w:jc w:val="both"/>
              <w:rPr/>
            </w:pPr>
            <w:hyperlink w:anchor="note2_003">
              <w:r>
                <w:rPr>
                  <w:rStyle w:val="InternetLink"/>
                  <w:rFonts w:ascii="Times New Roman;Times;Serif" w:hAnsi="Times New Roman;Times;Serif"/>
                  <w:sz w:val="20"/>
                </w:rPr>
                <w:t>Consolidated Balance Sheets</w:t>
              </w:r>
            </w:hyperlink>
          </w:p>
        </w:tc>
        <w:tc>
          <w:tcPr>
            <w:tcW w:w="455" w:type="dxa"/>
            <w:tcBorders/>
            <w:shd w:fill="CCEEFF" w:val="clear"/>
            <w:vAlign w:val="center"/>
          </w:tcPr>
          <w:p>
            <w:pPr>
              <w:pStyle w:val="TableContents"/>
              <w:bidi w:val="0"/>
              <w:spacing w:before="0" w:after="283"/>
              <w:jc w:val="center"/>
              <w:rPr/>
            </w:pPr>
            <w:hyperlink w:anchor="note2_003">
              <w:r>
                <w:rPr>
                  <w:rStyle w:val="InternetLink"/>
                  <w:rFonts w:ascii="Times New Roman;Times;Serif" w:hAnsi="Times New Roman;Times;Serif"/>
                  <w:sz w:val="20"/>
                </w:rPr>
                <w:t>D-28</w:t>
              </w:r>
            </w:hyperlink>
          </w:p>
        </w:tc>
      </w:tr>
      <w:tr>
        <w:trPr/>
        <w:tc>
          <w:tcPr>
            <w:tcW w:w="8390" w:type="dxa"/>
            <w:tcBorders/>
            <w:shd w:fill="FFFFFF" w:val="clear"/>
            <w:vAlign w:val="center"/>
          </w:tcPr>
          <w:p>
            <w:pPr>
              <w:pStyle w:val="TableContents"/>
              <w:bidi w:val="0"/>
              <w:spacing w:before="0" w:after="283"/>
              <w:jc w:val="both"/>
              <w:rPr/>
            </w:pPr>
            <w:hyperlink w:anchor="note2_004">
              <w:r>
                <w:rPr>
                  <w:rStyle w:val="InternetLink"/>
                  <w:rFonts w:ascii="Times New Roman;Times;Serif" w:hAnsi="Times New Roman;Times;Serif"/>
                  <w:sz w:val="20"/>
                </w:rPr>
                <w:t>Consolidated Statements of Operations and Comprehensive Loss</w:t>
              </w:r>
            </w:hyperlink>
          </w:p>
        </w:tc>
        <w:tc>
          <w:tcPr>
            <w:tcW w:w="455" w:type="dxa"/>
            <w:tcBorders/>
            <w:shd w:fill="FFFFFF" w:val="clear"/>
            <w:vAlign w:val="center"/>
          </w:tcPr>
          <w:p>
            <w:pPr>
              <w:pStyle w:val="TableContents"/>
              <w:bidi w:val="0"/>
              <w:spacing w:before="0" w:after="283"/>
              <w:jc w:val="center"/>
              <w:rPr/>
            </w:pPr>
            <w:hyperlink w:anchor="note2_004">
              <w:r>
                <w:rPr>
                  <w:rStyle w:val="InternetLink"/>
                  <w:rFonts w:ascii="Times New Roman;Times;Serif" w:hAnsi="Times New Roman;Times;Serif"/>
                  <w:sz w:val="20"/>
                </w:rPr>
                <w:t>D-29</w:t>
              </w:r>
            </w:hyperlink>
          </w:p>
        </w:tc>
      </w:tr>
      <w:tr>
        <w:trPr/>
        <w:tc>
          <w:tcPr>
            <w:tcW w:w="8390" w:type="dxa"/>
            <w:tcBorders/>
            <w:shd w:fill="CCEEFF" w:val="clear"/>
            <w:vAlign w:val="center"/>
          </w:tcPr>
          <w:p>
            <w:pPr>
              <w:pStyle w:val="TableContents"/>
              <w:bidi w:val="0"/>
              <w:spacing w:before="0" w:after="283"/>
              <w:jc w:val="both"/>
              <w:rPr/>
            </w:pPr>
            <w:hyperlink w:anchor="note2_005">
              <w:r>
                <w:rPr>
                  <w:rStyle w:val="InternetLink"/>
                  <w:rFonts w:ascii="Times New Roman;Times;Serif" w:hAnsi="Times New Roman;Times;Serif"/>
                  <w:sz w:val="20"/>
                </w:rPr>
                <w:t xml:space="preserve">Consolidated Statements of Changes in Equity </w:t>
              </w:r>
            </w:hyperlink>
          </w:p>
        </w:tc>
        <w:tc>
          <w:tcPr>
            <w:tcW w:w="455" w:type="dxa"/>
            <w:tcBorders/>
            <w:shd w:fill="CCEEFF" w:val="clear"/>
            <w:vAlign w:val="center"/>
          </w:tcPr>
          <w:p>
            <w:pPr>
              <w:pStyle w:val="TableContents"/>
              <w:bidi w:val="0"/>
              <w:spacing w:before="0" w:after="283"/>
              <w:jc w:val="center"/>
              <w:rPr/>
            </w:pPr>
            <w:hyperlink w:anchor="note2_005">
              <w:r>
                <w:rPr>
                  <w:rStyle w:val="InternetLink"/>
                  <w:rFonts w:ascii="Times New Roman;Times;Serif" w:hAnsi="Times New Roman;Times;Serif"/>
                  <w:sz w:val="20"/>
                </w:rPr>
                <w:t>D-30</w:t>
              </w:r>
            </w:hyperlink>
          </w:p>
        </w:tc>
      </w:tr>
      <w:tr>
        <w:trPr/>
        <w:tc>
          <w:tcPr>
            <w:tcW w:w="8390" w:type="dxa"/>
            <w:tcBorders/>
            <w:shd w:fill="FFFFFF" w:val="clear"/>
            <w:vAlign w:val="center"/>
          </w:tcPr>
          <w:p>
            <w:pPr>
              <w:pStyle w:val="TableContents"/>
              <w:bidi w:val="0"/>
              <w:spacing w:before="0" w:after="283"/>
              <w:jc w:val="both"/>
              <w:rPr/>
            </w:pPr>
            <w:hyperlink w:anchor="note2_007">
              <w:r>
                <w:rPr>
                  <w:rStyle w:val="InternetLink"/>
                  <w:rFonts w:ascii="Times New Roman;Times;Serif" w:hAnsi="Times New Roman;Times;Serif"/>
                  <w:sz w:val="20"/>
                </w:rPr>
                <w:t>Consolidated Statements of Cash Flows</w:t>
              </w:r>
            </w:hyperlink>
          </w:p>
        </w:tc>
        <w:tc>
          <w:tcPr>
            <w:tcW w:w="455" w:type="dxa"/>
            <w:tcBorders/>
            <w:shd w:fill="FFFFFF" w:val="clear"/>
            <w:vAlign w:val="center"/>
          </w:tcPr>
          <w:p>
            <w:pPr>
              <w:pStyle w:val="TableContents"/>
              <w:bidi w:val="0"/>
              <w:spacing w:before="0" w:after="283"/>
              <w:jc w:val="center"/>
              <w:rPr/>
            </w:pPr>
            <w:hyperlink w:anchor="note2_007">
              <w:r>
                <w:rPr>
                  <w:rStyle w:val="InternetLink"/>
                  <w:rFonts w:ascii="Times New Roman;Times;Serif" w:hAnsi="Times New Roman;Times;Serif"/>
                  <w:sz w:val="20"/>
                </w:rPr>
                <w:t>D-32</w:t>
              </w:r>
            </w:hyperlink>
          </w:p>
        </w:tc>
      </w:tr>
      <w:tr>
        <w:trPr/>
        <w:tc>
          <w:tcPr>
            <w:tcW w:w="8390" w:type="dxa"/>
            <w:tcBorders/>
            <w:shd w:fill="CCEEFF" w:val="clear"/>
            <w:vAlign w:val="center"/>
          </w:tcPr>
          <w:p>
            <w:pPr>
              <w:pStyle w:val="TableContents"/>
              <w:bidi w:val="0"/>
              <w:spacing w:before="0" w:after="283"/>
              <w:jc w:val="both"/>
              <w:rPr/>
            </w:pPr>
            <w:hyperlink w:anchor="note2_008">
              <w:r>
                <w:rPr>
                  <w:rStyle w:val="InternetLink"/>
                  <w:rFonts w:ascii="Times New Roman;Times;Serif" w:hAnsi="Times New Roman;Times;Serif"/>
                  <w:sz w:val="20"/>
                </w:rPr>
                <w:t>Notes to the Consolidated Financial Statements</w:t>
              </w:r>
            </w:hyperlink>
          </w:p>
        </w:tc>
        <w:tc>
          <w:tcPr>
            <w:tcW w:w="455" w:type="dxa"/>
            <w:tcBorders/>
            <w:shd w:fill="CCEEFF" w:val="clear"/>
            <w:vAlign w:val="center"/>
          </w:tcPr>
          <w:p>
            <w:pPr>
              <w:pStyle w:val="TableContents"/>
              <w:bidi w:val="0"/>
              <w:spacing w:before="0" w:after="283"/>
              <w:jc w:val="center"/>
              <w:rPr/>
            </w:pPr>
            <w:hyperlink w:anchor="note2_008">
              <w:r>
                <w:rPr>
                  <w:rStyle w:val="InternetLink"/>
                  <w:rFonts w:ascii="Times New Roman;Times;Serif" w:hAnsi="Times New Roman;Times;Serif"/>
                  <w:sz w:val="20"/>
                </w:rPr>
                <w:t>D-33</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8" w:name="q_001"/>
      <w:bookmarkEnd w:id="78"/>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789"/>
        <w:gridCol w:w="77"/>
        <w:gridCol w:w="137"/>
        <w:gridCol w:w="767"/>
        <w:gridCol w:w="92"/>
        <w:gridCol w:w="77"/>
        <w:gridCol w:w="165"/>
        <w:gridCol w:w="989"/>
        <w:gridCol w:w="112"/>
      </w:tblGrid>
      <w:tr>
        <w:trPr/>
        <w:tc>
          <w:tcPr>
            <w:tcW w:w="7789"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904" w:type="dxa"/>
            <w:gridSpan w:val="2"/>
            <w:tcBorders/>
            <w:vAlign w:val="center"/>
          </w:tcPr>
          <w:p>
            <w:pPr>
              <w:pStyle w:val="TableContents"/>
              <w:bidi w:val="0"/>
              <w:spacing w:before="0" w:after="283"/>
              <w:jc w:val="center"/>
              <w:rPr>
                <w:b/>
                <w:sz w:val="20"/>
              </w:rPr>
            </w:pPr>
            <w:r>
              <w:rPr>
                <w:b/>
                <w:sz w:val="20"/>
              </w:rPr>
              <w:t xml:space="preserve">June 30, </w:t>
            </w:r>
          </w:p>
        </w:tc>
        <w:tc>
          <w:tcPr>
            <w:tcW w:w="92"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154" w:type="dxa"/>
            <w:gridSpan w:val="2"/>
            <w:tcBorders/>
            <w:vAlign w:val="center"/>
          </w:tcPr>
          <w:p>
            <w:pPr>
              <w:pStyle w:val="TableContents"/>
              <w:bidi w:val="0"/>
              <w:spacing w:before="0" w:after="283"/>
              <w:jc w:val="center"/>
              <w:rPr>
                <w:b/>
                <w:sz w:val="20"/>
              </w:rPr>
            </w:pPr>
            <w:r>
              <w:rPr>
                <w:b/>
                <w:sz w:val="20"/>
              </w:rPr>
              <w:t xml:space="preserve">December 31, </w:t>
            </w:r>
          </w:p>
        </w:tc>
        <w:tc>
          <w:tcPr>
            <w:tcW w:w="112" w:type="dxa"/>
            <w:tcBorders/>
            <w:vAlign w:val="center"/>
          </w:tcPr>
          <w:p>
            <w:pPr>
              <w:pStyle w:val="TableContents"/>
              <w:bidi w:val="0"/>
              <w:spacing w:before="0" w:after="283"/>
              <w:jc w:val="left"/>
              <w:rPr/>
            </w:pPr>
            <w:r>
              <w:rPr/>
              <w:t xml:space="preserve">  </w:t>
            </w:r>
          </w:p>
        </w:tc>
      </w:tr>
      <w:tr>
        <w:trPr/>
        <w:tc>
          <w:tcPr>
            <w:tcW w:w="7789"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2026 </w:t>
            </w:r>
          </w:p>
        </w:tc>
        <w:tc>
          <w:tcPr>
            <w:tcW w:w="92"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2025 </w:t>
            </w:r>
          </w:p>
        </w:tc>
        <w:tc>
          <w:tcPr>
            <w:tcW w:w="112" w:type="dxa"/>
            <w:tcBorders/>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Current assets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Cash and cash equivalents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sz w:val="20"/>
              </w:rPr>
            </w:pPr>
            <w:r>
              <w:rPr>
                <w:sz w:val="20"/>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11,778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sz w:val="20"/>
              </w:rPr>
            </w:pPr>
            <w:r>
              <w:rPr>
                <w:sz w:val="20"/>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2,617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Marketable securities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7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Accounts receivable, net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1,824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1,560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Inventory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391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509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Other current assets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1,146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1,217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Total current assets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15,139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5,910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Restricted cash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568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251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Property and equipment, net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1,606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1,665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Intangible assets, net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20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101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Operating lease right-of-use assets, net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836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1,039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Security deposits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2,067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2,127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Other assets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290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124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Total assets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76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20,526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xml:space="preserve">$ </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11,217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Current liabilities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Accounts payable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sz w:val="20"/>
              </w:rPr>
            </w:pPr>
            <w:r>
              <w:rPr>
                <w:sz w:val="20"/>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1,618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sz w:val="20"/>
              </w:rPr>
            </w:pPr>
            <w:r>
              <w:rPr>
                <w:sz w:val="20"/>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2,836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Accrued expenses and other current liabilities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2,657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2,940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Accrued Series G convertible preferred stock redemption payable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538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Current portion of operating lease liabilities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1,685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1,862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Deferred revenue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708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1,126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Convertible senior secured note, net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3,590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b/>
                <w:sz w:val="20"/>
              </w:rPr>
            </w:pPr>
            <w:r>
              <w:rPr>
                <w:b/>
                <w:sz w:val="20"/>
              </w:rPr>
              <w:t xml:space="preserve">Total current liabilities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6,668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12,892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b/>
                <w:sz w:val="20"/>
              </w:rPr>
            </w:pPr>
            <w:r>
              <w:rPr>
                <w:b/>
                <w:sz w:val="20"/>
              </w:rPr>
              <w:t xml:space="preserve">Long-term liabilities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Derivative liability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3,870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Operating lease liabilities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5,606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7,035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Total liabilities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12,274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23,797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b/>
                <w:sz w:val="20"/>
              </w:rPr>
            </w:pPr>
            <w:r>
              <w:rPr>
                <w:b/>
                <w:sz w:val="20"/>
              </w:rPr>
              <w:t xml:space="preserve">Commitments and contingencies (see Note 8)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Temporary equity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Series G Convertible  Preferred Stock, $0.01 par value per share and $1,000 stated value per share, 4,000 shares authorized; 0 and 196 shares issued and outstanding as of June 30, 2026 and December 31, 2025, respectively; Liquidation preference of $0 as of June 30, 2026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224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Equity (deficit)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Series H Convertible  Preferred Stock, $0.01  par value per share and $1,000 stated value per share, 35,000 shares authorized; 31,333 and 0 shares issued and outstanding as of June 30, 2026 and December 31, 2025, respectively; Liquidation preference of $31,333 as of June 30, 2026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Common stock, $0.01 par value per share, 150,000,000 shares authorized; 8,471,766 and 6,071,324 shares issued and outstanding as of June 30, 2026 and December 31, 2025, respectively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84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61 </w:t>
            </w:r>
          </w:p>
        </w:tc>
        <w:tc>
          <w:tcPr>
            <w:tcW w:w="112" w:type="dxa"/>
            <w:tcBorders/>
            <w:shd w:fill="CCEEFF" w:val="clear"/>
            <w:vAlign w:val="center"/>
          </w:tcPr>
          <w:p>
            <w:pPr>
              <w:pStyle w:val="TableContents"/>
              <w:bidi w:val="0"/>
              <w:spacing w:before="0" w:after="283"/>
              <w:jc w:val="left"/>
              <w:rPr/>
            </w:pPr>
            <w:r>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Additional paid-in capital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67" w:type="dxa"/>
            <w:tcBorders/>
            <w:shd w:fill="FFFFFF" w:val="clear"/>
            <w:vAlign w:val="center"/>
          </w:tcPr>
          <w:p>
            <w:pPr>
              <w:pStyle w:val="TableContents"/>
              <w:bidi w:val="0"/>
              <w:spacing w:before="0" w:after="283"/>
              <w:jc w:val="right"/>
              <w:rPr>
                <w:sz w:val="20"/>
              </w:rPr>
            </w:pPr>
            <w:r>
              <w:rPr>
                <w:sz w:val="20"/>
              </w:rPr>
              <w:t xml:space="preserve">502,962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989" w:type="dxa"/>
            <w:tcBorders/>
            <w:shd w:fill="FFFFFF" w:val="clear"/>
            <w:vAlign w:val="center"/>
          </w:tcPr>
          <w:p>
            <w:pPr>
              <w:pStyle w:val="TableContents"/>
              <w:bidi w:val="0"/>
              <w:spacing w:before="0" w:after="283"/>
              <w:jc w:val="right"/>
              <w:rPr>
                <w:sz w:val="20"/>
              </w:rPr>
            </w:pPr>
            <w:r>
              <w:rPr>
                <w:sz w:val="20"/>
              </w:rPr>
              <w:t xml:space="preserve">468,915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Accumulated deficit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(503,139 </w:t>
            </w:r>
          </w:p>
        </w:tc>
        <w:tc>
          <w:tcPr>
            <w:tcW w:w="92" w:type="dxa"/>
            <w:tcBorders/>
            <w:shd w:fill="CCEEFF" w:val="clear"/>
            <w:vAlign w:val="center"/>
          </w:tcPr>
          <w:p>
            <w:pPr>
              <w:pStyle w:val="TableContents"/>
              <w:bidi w:val="0"/>
              <w:spacing w:before="0" w:after="283"/>
              <w:jc w:val="left"/>
              <w:rPr>
                <w:sz w:val="20"/>
              </w:rPr>
            </w:pPr>
            <w:r>
              <w:rPr>
                <w:sz w:val="20"/>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(489,697 </w:t>
            </w:r>
          </w:p>
        </w:tc>
        <w:tc>
          <w:tcPr>
            <w:tcW w:w="112" w:type="dxa"/>
            <w:tcBorders/>
            <w:shd w:fill="CCEEFF" w:val="clear"/>
            <w:vAlign w:val="center"/>
          </w:tcPr>
          <w:p>
            <w:pPr>
              <w:pStyle w:val="TableContents"/>
              <w:bidi w:val="0"/>
              <w:spacing w:before="0" w:after="283"/>
              <w:jc w:val="left"/>
              <w:rPr>
                <w:sz w:val="20"/>
              </w:rPr>
            </w:pPr>
            <w:r>
              <w:rPr>
                <w:sz w:val="20"/>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Accumulated other comprehensive loss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(1,761 </w:t>
            </w:r>
          </w:p>
        </w:tc>
        <w:tc>
          <w:tcPr>
            <w:tcW w:w="92" w:type="dxa"/>
            <w:tcBorders/>
            <w:shd w:fill="FFFFFF" w:val="clear"/>
            <w:vAlign w:val="center"/>
          </w:tcPr>
          <w:p>
            <w:pPr>
              <w:pStyle w:val="TableContents"/>
              <w:bidi w:val="0"/>
              <w:spacing w:before="0" w:after="283"/>
              <w:jc w:val="left"/>
              <w:rPr>
                <w:sz w:val="20"/>
              </w:rPr>
            </w:pPr>
            <w:r>
              <w:rPr>
                <w:sz w:val="20"/>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(1,541 </w:t>
            </w:r>
          </w:p>
        </w:tc>
        <w:tc>
          <w:tcPr>
            <w:tcW w:w="112" w:type="dxa"/>
            <w:tcBorders/>
            <w:shd w:fill="FFFFFF" w:val="clear"/>
            <w:vAlign w:val="center"/>
          </w:tcPr>
          <w:p>
            <w:pPr>
              <w:pStyle w:val="TableContents"/>
              <w:bidi w:val="0"/>
              <w:spacing w:before="0" w:after="283"/>
              <w:jc w:val="left"/>
              <w:rPr>
                <w:sz w:val="20"/>
              </w:rPr>
            </w:pPr>
            <w:r>
              <w:rPr>
                <w:sz w:val="20"/>
              </w:rPr>
              <w:t xml:space="preserve">) </w:t>
            </w:r>
          </w:p>
        </w:tc>
      </w:tr>
      <w:tr>
        <w:trPr/>
        <w:tc>
          <w:tcPr>
            <w:tcW w:w="7789" w:type="dxa"/>
            <w:tcBorders/>
            <w:shd w:fill="CCEEFF" w:val="clear"/>
            <w:vAlign w:val="center"/>
          </w:tcPr>
          <w:p>
            <w:pPr>
              <w:pStyle w:val="TableContents"/>
              <w:bidi w:val="0"/>
              <w:spacing w:before="0" w:after="283"/>
              <w:jc w:val="left"/>
              <w:rPr>
                <w:b/>
                <w:sz w:val="20"/>
              </w:rPr>
            </w:pPr>
            <w:r>
              <w:rPr>
                <w:b/>
                <w:sz w:val="20"/>
              </w:rPr>
              <w:t xml:space="preserve">Total equity (deficit) attributable to XWELL, Inc.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67" w:type="dxa"/>
            <w:tcBorders/>
            <w:shd w:fill="CCEEFF" w:val="clear"/>
            <w:vAlign w:val="center"/>
          </w:tcPr>
          <w:p>
            <w:pPr>
              <w:pStyle w:val="TableContents"/>
              <w:bidi w:val="0"/>
              <w:spacing w:before="0" w:after="283"/>
              <w:jc w:val="right"/>
              <w:rPr>
                <w:sz w:val="20"/>
              </w:rPr>
            </w:pPr>
            <w:r>
              <w:rPr>
                <w:sz w:val="20"/>
              </w:rPr>
              <w:t xml:space="preserve">(1,854 </w:t>
            </w:r>
          </w:p>
        </w:tc>
        <w:tc>
          <w:tcPr>
            <w:tcW w:w="92" w:type="dxa"/>
            <w:tcBorders/>
            <w:shd w:fill="CCEEFF" w:val="clear"/>
            <w:vAlign w:val="center"/>
          </w:tcPr>
          <w:p>
            <w:pPr>
              <w:pStyle w:val="TableContents"/>
              <w:bidi w:val="0"/>
              <w:spacing w:before="0" w:after="283"/>
              <w:jc w:val="left"/>
              <w:rPr>
                <w:sz w:val="20"/>
              </w:rPr>
            </w:pPr>
            <w:r>
              <w:rPr>
                <w:sz w:val="20"/>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989" w:type="dxa"/>
            <w:tcBorders/>
            <w:shd w:fill="CCEEFF" w:val="clear"/>
            <w:vAlign w:val="center"/>
          </w:tcPr>
          <w:p>
            <w:pPr>
              <w:pStyle w:val="TableContents"/>
              <w:bidi w:val="0"/>
              <w:spacing w:before="0" w:after="283"/>
              <w:jc w:val="right"/>
              <w:rPr>
                <w:sz w:val="20"/>
              </w:rPr>
            </w:pPr>
            <w:r>
              <w:rPr>
                <w:sz w:val="20"/>
              </w:rPr>
              <w:t xml:space="preserve">(22,262 </w:t>
            </w:r>
          </w:p>
        </w:tc>
        <w:tc>
          <w:tcPr>
            <w:tcW w:w="112" w:type="dxa"/>
            <w:tcBorders/>
            <w:shd w:fill="CCEEFF" w:val="clear"/>
            <w:vAlign w:val="center"/>
          </w:tcPr>
          <w:p>
            <w:pPr>
              <w:pStyle w:val="TableContents"/>
              <w:bidi w:val="0"/>
              <w:spacing w:before="0" w:after="283"/>
              <w:jc w:val="left"/>
              <w:rPr>
                <w:sz w:val="20"/>
              </w:rPr>
            </w:pPr>
            <w:r>
              <w:rPr>
                <w:sz w:val="20"/>
              </w:rPr>
              <w:t xml:space="preserve">) </w:t>
            </w:r>
          </w:p>
        </w:tc>
      </w:tr>
      <w:tr>
        <w:trPr/>
        <w:tc>
          <w:tcPr>
            <w:tcW w:w="7789" w:type="dxa"/>
            <w:tcBorders/>
            <w:shd w:fill="FFFFFF" w:val="clear"/>
            <w:vAlign w:val="center"/>
          </w:tcPr>
          <w:p>
            <w:pPr>
              <w:pStyle w:val="TableContents"/>
              <w:bidi w:val="0"/>
              <w:spacing w:before="0" w:after="283"/>
              <w:jc w:val="left"/>
              <w:rPr>
                <w:sz w:val="20"/>
              </w:rPr>
            </w:pPr>
            <w:r>
              <w:rPr>
                <w:sz w:val="20"/>
              </w:rPr>
              <w:t xml:space="preserve">Noncontrolling interests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10,106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9,458 </w:t>
            </w:r>
          </w:p>
        </w:tc>
        <w:tc>
          <w:tcPr>
            <w:tcW w:w="112" w:type="dxa"/>
            <w:tcBorders/>
            <w:shd w:fill="FFFFFF" w:val="clear"/>
            <w:vAlign w:val="center"/>
          </w:tcPr>
          <w:p>
            <w:pPr>
              <w:pStyle w:val="TableContents"/>
              <w:bidi w:val="0"/>
              <w:spacing w:before="0" w:after="283"/>
              <w:jc w:val="left"/>
              <w:rPr/>
            </w:pPr>
            <w:r>
              <w:rPr/>
              <w:t xml:space="preserve">  </w:t>
            </w:r>
          </w:p>
        </w:tc>
      </w:tr>
      <w:tr>
        <w:trPr/>
        <w:tc>
          <w:tcPr>
            <w:tcW w:w="7789" w:type="dxa"/>
            <w:tcBorders/>
            <w:shd w:fill="CCEEFF" w:val="clear"/>
            <w:vAlign w:val="center"/>
          </w:tcPr>
          <w:p>
            <w:pPr>
              <w:pStyle w:val="TableContents"/>
              <w:bidi w:val="0"/>
              <w:spacing w:before="0" w:after="283"/>
              <w:jc w:val="left"/>
              <w:rPr>
                <w:sz w:val="20"/>
              </w:rPr>
            </w:pPr>
            <w:r>
              <w:rPr>
                <w:sz w:val="20"/>
              </w:rPr>
              <w:t xml:space="preserve">Total equity (deficit) </w:t>
            </w:r>
          </w:p>
        </w:tc>
        <w:tc>
          <w:tcPr>
            <w:tcW w:w="77" w:type="dxa"/>
            <w:tcBorders/>
            <w:shd w:fill="CCEEFF" w:val="clear"/>
            <w:vAlign w:val="center"/>
          </w:tcPr>
          <w:p>
            <w:pPr>
              <w:pStyle w:val="TableContents"/>
              <w:bidi w:val="0"/>
              <w:spacing w:before="0" w:after="283"/>
              <w:jc w:val="left"/>
              <w:rPr/>
            </w:pPr>
            <w:r>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8,252 </w:t>
            </w:r>
          </w:p>
        </w:tc>
        <w:tc>
          <w:tcPr>
            <w:tcW w:w="9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 xml:space="preserve">(12,804 </w:t>
            </w:r>
          </w:p>
        </w:tc>
        <w:tc>
          <w:tcPr>
            <w:tcW w:w="112" w:type="dxa"/>
            <w:tcBorders/>
            <w:shd w:fill="CCEEFF" w:val="clear"/>
            <w:vAlign w:val="center"/>
          </w:tcPr>
          <w:p>
            <w:pPr>
              <w:pStyle w:val="TableContents"/>
              <w:bidi w:val="0"/>
              <w:spacing w:before="0" w:after="283"/>
              <w:jc w:val="left"/>
              <w:rPr>
                <w:sz w:val="20"/>
              </w:rPr>
            </w:pPr>
            <w:r>
              <w:rPr>
                <w:sz w:val="20"/>
              </w:rPr>
              <w:t xml:space="preserve">) </w:t>
            </w:r>
          </w:p>
        </w:tc>
      </w:tr>
      <w:tr>
        <w:trPr/>
        <w:tc>
          <w:tcPr>
            <w:tcW w:w="7789" w:type="dxa"/>
            <w:tcBorders/>
            <w:shd w:fill="FFFFFF" w:val="clear"/>
            <w:vAlign w:val="center"/>
          </w:tcPr>
          <w:p>
            <w:pPr>
              <w:pStyle w:val="TableContents"/>
              <w:bidi w:val="0"/>
              <w:spacing w:before="0" w:after="283"/>
              <w:jc w:val="left"/>
              <w:rPr>
                <w:b/>
                <w:sz w:val="20"/>
              </w:rPr>
            </w:pPr>
            <w:r>
              <w:rPr>
                <w:b/>
                <w:sz w:val="20"/>
              </w:rPr>
              <w:t xml:space="preserve">Total liabilities, temporary equity and equity </w:t>
            </w:r>
          </w:p>
        </w:tc>
        <w:tc>
          <w:tcPr>
            <w:tcW w:w="77" w:type="dxa"/>
            <w:tcBorders/>
            <w:shd w:fill="FFFFFF" w:val="clear"/>
            <w:vAlign w:val="center"/>
          </w:tcPr>
          <w:p>
            <w:pPr>
              <w:pStyle w:val="TableContents"/>
              <w:bidi w:val="0"/>
              <w:spacing w:before="0" w:after="283"/>
              <w:jc w:val="left"/>
              <w:rPr/>
            </w:pPr>
            <w:r>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20,526 </w:t>
            </w:r>
          </w:p>
        </w:tc>
        <w:tc>
          <w:tcPr>
            <w:tcW w:w="9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 </w:t>
            </w:r>
          </w:p>
        </w:tc>
        <w:tc>
          <w:tcPr>
            <w:tcW w:w="98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11,217 </w:t>
            </w:r>
          </w:p>
        </w:tc>
        <w:tc>
          <w:tcPr>
            <w:tcW w:w="112"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form an integral part of these unaudited condensed consolidated financial statements.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9" w:name="q_002"/>
      <w:bookmarkEnd w:id="79"/>
      <w:r>
        <w:rPr>
          <w:rFonts w:ascii="Times New Roman;Times;Serif" w:hAnsi="Times New Roman;Times;Serif"/>
          <w:b/>
          <w:i w:val="false"/>
          <w:caps w:val="false"/>
          <w:smallCaps w:val="false"/>
          <w:sz w:val="20"/>
        </w:rPr>
        <w:t>CONDENSED CONSOLIDATED STATEMENTS OF OPERATIONS AND COMPREHENSIVE LOSS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4899"/>
        <w:gridCol w:w="114"/>
        <w:gridCol w:w="175"/>
        <w:gridCol w:w="940"/>
        <w:gridCol w:w="128"/>
        <w:gridCol w:w="121"/>
        <w:gridCol w:w="175"/>
        <w:gridCol w:w="940"/>
        <w:gridCol w:w="120"/>
        <w:gridCol w:w="114"/>
        <w:gridCol w:w="165"/>
        <w:gridCol w:w="885"/>
        <w:gridCol w:w="120"/>
        <w:gridCol w:w="114"/>
        <w:gridCol w:w="165"/>
        <w:gridCol w:w="885"/>
        <w:gridCol w:w="145"/>
      </w:tblGrid>
      <w:tr>
        <w:trPr/>
        <w:tc>
          <w:tcPr>
            <w:tcW w:w="4899" w:type="dxa"/>
            <w:tcBorders/>
            <w:vAlign w:val="center"/>
          </w:tcPr>
          <w:p>
            <w:pPr>
              <w:pStyle w:val="TableContents"/>
              <w:bidi w:val="0"/>
              <w:spacing w:before="0" w:after="283"/>
              <w:jc w:val="left"/>
              <w:rPr/>
            </w:pPr>
            <w:r>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4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w:t>
            </w:r>
          </w:p>
        </w:tc>
        <w:tc>
          <w:tcPr>
            <w:tcW w:w="14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vAlign w:val="center"/>
          </w:tcPr>
          <w:p>
            <w:pPr>
              <w:pStyle w:val="TableContents"/>
              <w:bidi w:val="0"/>
              <w:spacing w:before="0" w:after="283"/>
              <w:jc w:val="left"/>
              <w:rPr/>
            </w:pPr>
            <w:r>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4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Revenue, net </w:t>
            </w:r>
          </w:p>
        </w:tc>
        <w:tc>
          <w:tcPr>
            <w:tcW w:w="114"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21"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6,531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6,905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12,596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13,325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1,387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revenue, net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7,145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7,689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14,712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21"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of sales </w:t>
            </w:r>
          </w:p>
        </w:tc>
        <w:tc>
          <w:tcPr>
            <w:tcW w:w="114" w:type="dxa"/>
            <w:tcBorders/>
            <w:shd w:fill="FFFFFF" w:val="clear"/>
            <w:vAlign w:val="center"/>
          </w:tcPr>
          <w:p>
            <w:pPr>
              <w:pStyle w:val="TableContents"/>
              <w:bidi w:val="0"/>
              <w:spacing w:before="0" w:after="283"/>
              <w:jc w:val="left"/>
              <w:rPr/>
            </w:pPr>
            <w:r>
              <w:rPr/>
              <w:t xml:space="preserve">  </w:t>
            </w:r>
          </w:p>
        </w:tc>
        <w:tc>
          <w:tcPr>
            <w:tcW w:w="175" w:type="dxa"/>
            <w:tcBorders/>
            <w:shd w:fill="FFFFFF" w:val="clear"/>
            <w:vAlign w:val="center"/>
          </w:tcPr>
          <w:p>
            <w:pPr>
              <w:pStyle w:val="TableContents"/>
              <w:bidi w:val="0"/>
              <w:spacing w:before="0" w:after="283"/>
              <w:jc w:val="left"/>
              <w:rPr/>
            </w:pPr>
            <w:r>
              <w:rPr/>
              <w:t xml:space="preserve">  </w:t>
            </w:r>
          </w:p>
        </w:tc>
        <w:tc>
          <w:tcPr>
            <w:tcW w:w="940" w:type="dxa"/>
            <w:tcBorders/>
            <w:shd w:fill="FFFFFF" w:val="clear"/>
            <w:vAlign w:val="center"/>
          </w:tcPr>
          <w:p>
            <w:pPr>
              <w:pStyle w:val="TableContents"/>
              <w:bidi w:val="0"/>
              <w:spacing w:before="0" w:after="283"/>
              <w:jc w:val="right"/>
              <w:rPr/>
            </w:pPr>
            <w:r>
              <w:rPr/>
              <w:t xml:space="preserve">  </w:t>
            </w:r>
          </w:p>
        </w:tc>
        <w:tc>
          <w:tcPr>
            <w:tcW w:w="128" w:type="dxa"/>
            <w:tcBorders/>
            <w:shd w:fill="FFFFFF" w:val="clear"/>
            <w:vAlign w:val="center"/>
          </w:tcPr>
          <w:p>
            <w:pPr>
              <w:pStyle w:val="TableContents"/>
              <w:bidi w:val="0"/>
              <w:spacing w:before="0" w:after="283"/>
              <w:jc w:val="left"/>
              <w:rPr/>
            </w:pPr>
            <w:r>
              <w:rPr/>
              <w:t xml:space="preserve">  </w:t>
            </w:r>
          </w:p>
        </w:tc>
        <w:tc>
          <w:tcPr>
            <w:tcW w:w="121" w:type="dxa"/>
            <w:tcBorders/>
            <w:shd w:fill="FFFFFF" w:val="clear"/>
            <w:vAlign w:val="center"/>
          </w:tcPr>
          <w:p>
            <w:pPr>
              <w:pStyle w:val="TableContents"/>
              <w:bidi w:val="0"/>
              <w:spacing w:before="0" w:after="283"/>
              <w:jc w:val="left"/>
              <w:rPr/>
            </w:pPr>
            <w:r>
              <w:rPr/>
              <w:t xml:space="preserve">  </w:t>
            </w:r>
          </w:p>
        </w:tc>
        <w:tc>
          <w:tcPr>
            <w:tcW w:w="175" w:type="dxa"/>
            <w:tcBorders/>
            <w:shd w:fill="FFFFFF" w:val="clear"/>
            <w:vAlign w:val="center"/>
          </w:tcPr>
          <w:p>
            <w:pPr>
              <w:pStyle w:val="TableContents"/>
              <w:bidi w:val="0"/>
              <w:spacing w:before="0" w:after="283"/>
              <w:jc w:val="left"/>
              <w:rPr/>
            </w:pPr>
            <w:r>
              <w:rPr/>
              <w:t xml:space="preserve">  </w:t>
            </w:r>
          </w:p>
        </w:tc>
        <w:tc>
          <w:tcPr>
            <w:tcW w:w="94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14"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14" w:type="dxa"/>
            <w:tcBorders/>
            <w:shd w:fill="FFFFFF" w:val="clear"/>
            <w:vAlign w:val="center"/>
          </w:tcPr>
          <w:p>
            <w:pPr>
              <w:pStyle w:val="TableContents"/>
              <w:bidi w:val="0"/>
              <w:spacing w:before="0" w:after="283"/>
              <w:jc w:val="left"/>
              <w:rPr/>
            </w:pPr>
            <w:r>
              <w:rPr/>
              <w:t xml:space="preserve">  </w:t>
            </w:r>
          </w:p>
        </w:tc>
        <w:tc>
          <w:tcPr>
            <w:tcW w:w="165" w:type="dxa"/>
            <w:tcBorders/>
            <w:shd w:fill="FFFFFF" w:val="clear"/>
            <w:vAlign w:val="center"/>
          </w:tcPr>
          <w:p>
            <w:pPr>
              <w:pStyle w:val="TableContents"/>
              <w:bidi w:val="0"/>
              <w:spacing w:before="0" w:after="283"/>
              <w:jc w:val="left"/>
              <w:rPr/>
            </w:pPr>
            <w:r>
              <w:rPr/>
              <w:t xml:space="preserve">  </w:t>
            </w:r>
          </w:p>
        </w:tc>
        <w:tc>
          <w:tcPr>
            <w:tcW w:w="885" w:type="dxa"/>
            <w:tcBorders/>
            <w:shd w:fill="FFFFFF" w:val="clear"/>
            <w:vAlign w:val="center"/>
          </w:tcPr>
          <w:p>
            <w:pPr>
              <w:pStyle w:val="TableContents"/>
              <w:bidi w:val="0"/>
              <w:spacing w:before="0" w:after="283"/>
              <w:jc w:val="right"/>
              <w:rPr/>
            </w:pPr>
            <w:r>
              <w:rPr/>
              <w:t xml:space="preserve">  </w:t>
            </w:r>
          </w:p>
        </w:tc>
        <w:tc>
          <w:tcPr>
            <w:tcW w:w="145" w:type="dxa"/>
            <w:tcBorders/>
            <w:shd w:fill="FFFFFF" w:val="clear"/>
            <w:vAlign w:val="center"/>
          </w:tcPr>
          <w:p>
            <w:pPr>
              <w:pStyle w:val="TableContents"/>
              <w:bidi w:val="0"/>
              <w:spacing w:before="0" w:after="283"/>
              <w:jc w:val="left"/>
              <w:rPr/>
            </w:pPr>
            <w:r>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Labor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3,037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3,912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6,011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7,879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Occupancy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606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2,372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Products and other operating costs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554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1,367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cost of sales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4,197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5,914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8,482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11,618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Profit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2,948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5,302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3,094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353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disposal of assets, net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and administrative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4,650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12,246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8,591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operating expenses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5,052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4,467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12,820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8,944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Operating loss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(2,104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(7,518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(5,850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derivative liabilities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(5,584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279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warrant liability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3,215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issuance of Series G Preferred Stock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(3,443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income (expense), net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204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Foreign exchange gain (loss)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(998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investments, realized and unrealized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188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expense, net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before income taxes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(1,832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(2,018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(12,844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(6,606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(1,883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(2,052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(12,895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(6,640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attributable to noncontrolling interests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(357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(547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(348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attributable to XWELL, Inc.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(2,240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(2,269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(13,442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(6,988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21"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(1,883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(2,052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(12,895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(6,640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comprehensive income (loss)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606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Comprehensive loss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(1,924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(1,635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(13,014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(6,034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per share </w:t>
            </w:r>
          </w:p>
        </w:tc>
        <w:tc>
          <w:tcPr>
            <w:tcW w:w="114"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21"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Preferred stock dividends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(257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Preferred stock accretion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(583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(1,082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Deemed contribution on Repurchase of Series G Preferred Stock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loss attributable to XWELL, Inc. common stockholders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(2,240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(3,041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(13,418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(8,327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Basic and diluted loss per share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(0.26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(0.56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(1.69 </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(1.56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Weighted-average number of shares outstanding </w:t>
            </w:r>
          </w:p>
        </w:tc>
        <w:tc>
          <w:tcPr>
            <w:tcW w:w="114"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21" w:type="dxa"/>
            <w:tcBorders/>
            <w:shd w:fill="CCEEFF" w:val="clear"/>
            <w:vAlign w:val="center"/>
          </w:tcPr>
          <w:p>
            <w:pPr>
              <w:pStyle w:val="TableContents"/>
              <w:bidi w:val="0"/>
              <w:spacing w:before="0" w:after="283"/>
              <w:jc w:val="left"/>
              <w:rPr/>
            </w:pPr>
            <w:r>
              <w:rPr/>
              <w:t xml:space="preserve">  </w:t>
            </w:r>
          </w:p>
        </w:tc>
        <w:tc>
          <w:tcPr>
            <w:tcW w:w="175" w:type="dxa"/>
            <w:tcBorders/>
            <w:shd w:fill="CCEEFF" w:val="clear"/>
            <w:vAlign w:val="center"/>
          </w:tcPr>
          <w:p>
            <w:pPr>
              <w:pStyle w:val="TableContents"/>
              <w:bidi w:val="0"/>
              <w:spacing w:before="0" w:after="283"/>
              <w:jc w:val="left"/>
              <w:rPr/>
            </w:pPr>
            <w:r>
              <w:rPr/>
              <w:t xml:space="preserve">  </w:t>
            </w:r>
          </w:p>
        </w:tc>
        <w:tc>
          <w:tcPr>
            <w:tcW w:w="94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14" w:type="dxa"/>
            <w:tcBorders/>
            <w:shd w:fill="CCEEFF" w:val="clear"/>
            <w:vAlign w:val="center"/>
          </w:tcPr>
          <w:p>
            <w:pPr>
              <w:pStyle w:val="TableContents"/>
              <w:bidi w:val="0"/>
              <w:spacing w:before="0" w:after="283"/>
              <w:jc w:val="left"/>
              <w:rPr/>
            </w:pPr>
            <w:r>
              <w:rPr/>
              <w:t xml:space="preserve">  </w:t>
            </w:r>
          </w:p>
        </w:tc>
        <w:tc>
          <w:tcPr>
            <w:tcW w:w="165" w:type="dxa"/>
            <w:tcBorders/>
            <w:shd w:fill="CCEEFF" w:val="clear"/>
            <w:vAlign w:val="center"/>
          </w:tcPr>
          <w:p>
            <w:pPr>
              <w:pStyle w:val="TableContents"/>
              <w:bidi w:val="0"/>
              <w:spacing w:before="0" w:after="283"/>
              <w:jc w:val="left"/>
              <w:rPr/>
            </w:pPr>
            <w:r>
              <w:rPr/>
              <w:t xml:space="preserve">  </w:t>
            </w:r>
          </w:p>
        </w:tc>
        <w:tc>
          <w:tcPr>
            <w:tcW w:w="885" w:type="dxa"/>
            <w:tcBorders/>
            <w:shd w:fill="CCEEFF" w:val="clear"/>
            <w:vAlign w:val="center"/>
          </w:tcPr>
          <w:p>
            <w:pPr>
              <w:pStyle w:val="TableContents"/>
              <w:bidi w:val="0"/>
              <w:spacing w:before="0" w:after="283"/>
              <w:jc w:val="righ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r>
      <w:tr>
        <w:trPr/>
        <w:tc>
          <w:tcPr>
            <w:tcW w:w="48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8,487,425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5,417,271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7,944,801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5,340,442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Diluted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8,487,425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5,417,271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7,944,801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5,340,442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form an integral part of these unaudited condensed consolidated financial statements.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0" w:name="new_001"/>
      <w:bookmarkEnd w:id="80"/>
      <w:r>
        <w:rPr>
          <w:rFonts w:ascii="Times New Roman;Times;Serif" w:hAnsi="Times New Roman;Times;Serif"/>
          <w:b/>
          <w:i w:val="false"/>
          <w:caps w:val="false"/>
          <w:smallCaps w:val="false"/>
          <w:sz w:val="20"/>
        </w:rPr>
        <w:t>CONDENSED CONSOLIDATED STATEMENTS OF CHANGES IN TEMPORARY EQUITY AND STOCKHOLDERS’ EQUITY (DEFICIT)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11475" w:type="dxa"/>
        <w:jc w:val="left"/>
        <w:tblInd w:w="0" w:type="dxa"/>
        <w:tblLayout w:type="fixed"/>
        <w:tblCellMar>
          <w:top w:w="0" w:type="dxa"/>
          <w:left w:w="0" w:type="dxa"/>
          <w:bottom w:w="0" w:type="dxa"/>
          <w:right w:w="0" w:type="dxa"/>
        </w:tblCellMar>
      </w:tblPr>
      <w:tblGrid>
        <w:gridCol w:w="1130"/>
        <w:gridCol w:w="60"/>
        <w:gridCol w:w="143"/>
        <w:gridCol w:w="357"/>
        <w:gridCol w:w="80"/>
        <w:gridCol w:w="60"/>
        <w:gridCol w:w="185"/>
        <w:gridCol w:w="420"/>
        <w:gridCol w:w="80"/>
        <w:gridCol w:w="60"/>
        <w:gridCol w:w="60"/>
        <w:gridCol w:w="515"/>
        <w:gridCol w:w="60"/>
        <w:gridCol w:w="60"/>
        <w:gridCol w:w="179"/>
        <w:gridCol w:w="426"/>
        <w:gridCol w:w="60"/>
        <w:gridCol w:w="60"/>
        <w:gridCol w:w="60"/>
        <w:gridCol w:w="740"/>
        <w:gridCol w:w="60"/>
        <w:gridCol w:w="60"/>
        <w:gridCol w:w="179"/>
        <w:gridCol w:w="426"/>
        <w:gridCol w:w="60"/>
        <w:gridCol w:w="60"/>
        <w:gridCol w:w="155"/>
        <w:gridCol w:w="630"/>
        <w:gridCol w:w="80"/>
        <w:gridCol w:w="60"/>
        <w:gridCol w:w="136"/>
        <w:gridCol w:w="829"/>
        <w:gridCol w:w="80"/>
        <w:gridCol w:w="60"/>
        <w:gridCol w:w="200"/>
        <w:gridCol w:w="885"/>
        <w:gridCol w:w="80"/>
        <w:gridCol w:w="60"/>
        <w:gridCol w:w="150"/>
        <w:gridCol w:w="575"/>
        <w:gridCol w:w="80"/>
        <w:gridCol w:w="60"/>
        <w:gridCol w:w="143"/>
        <w:gridCol w:w="672"/>
        <w:gridCol w:w="60"/>
        <w:gridCol w:w="60"/>
        <w:gridCol w:w="110"/>
        <w:gridCol w:w="575"/>
        <w:gridCol w:w="95"/>
      </w:tblGrid>
      <w:tr>
        <w:trPr/>
        <w:tc>
          <w:tcPr>
            <w:tcW w:w="113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500"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center"/>
              <w:rPr/>
            </w:pPr>
            <w:r>
              <w:rPr/>
              <w:t xml:space="preserve">  </w:t>
            </w:r>
          </w:p>
        </w:tc>
        <w:tc>
          <w:tcPr>
            <w:tcW w:w="80" w:type="dxa"/>
            <w:tcBorders>
              <w:right w:val="single" w:sz="8" w:space="0" w:color="000000"/>
            </w:tcBorders>
            <w:tcMar>
              <w:right w:w="28" w:type="dxa"/>
            </w:tcMar>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575" w:type="dxa"/>
            <w:gridSpan w:val="2"/>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800" w:type="dxa"/>
            <w:gridSpan w:val="2"/>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78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96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Accumulated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pPr>
            <w:r>
              <w:rPr/>
              <w:t xml:space="preserve">  </w:t>
            </w:r>
          </w:p>
        </w:tc>
        <w:tc>
          <w:tcPr>
            <w:tcW w:w="72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815" w:type="dxa"/>
            <w:gridSpan w:val="2"/>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85" w:type="dxa"/>
            <w:gridSpan w:val="2"/>
            <w:tcBorders/>
            <w:vAlign w:val="center"/>
          </w:tcPr>
          <w:p>
            <w:pPr>
              <w:pStyle w:val="TableContents"/>
              <w:bidi w:val="0"/>
              <w:spacing w:before="0" w:after="283"/>
              <w:jc w:val="center"/>
              <w:rPr/>
            </w:pPr>
            <w:r>
              <w:rPr/>
              <w:t xml:space="preserve">  </w:t>
            </w:r>
          </w:p>
        </w:tc>
        <w:tc>
          <w:tcPr>
            <w:tcW w:w="95" w:type="dxa"/>
            <w:tcBorders/>
            <w:vAlign w:val="center"/>
          </w:tcPr>
          <w:p>
            <w:pPr>
              <w:pStyle w:val="TableContents"/>
              <w:bidi w:val="0"/>
              <w:spacing w:before="0" w:after="283"/>
              <w:jc w:val="left"/>
              <w:rPr/>
            </w:pPr>
            <w:r>
              <w:rPr/>
              <w:t xml:space="preserve">  </w:t>
            </w:r>
          </w:p>
        </w:tc>
      </w:tr>
      <w:tr>
        <w:trPr/>
        <w:tc>
          <w:tcPr>
            <w:tcW w:w="113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4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Series G Convertible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Series H Convertible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pPr>
            <w:r>
              <w:rPr/>
              <w:t xml:space="preserve">  </w:t>
            </w:r>
          </w:p>
        </w:tc>
        <w:tc>
          <w:tcPr>
            <w:tcW w:w="800" w:type="dxa"/>
            <w:gridSpan w:val="2"/>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Additional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pPr>
            <w:r>
              <w:rPr/>
              <w:t xml:space="preserve">  </w:t>
            </w:r>
          </w:p>
        </w:tc>
        <w:tc>
          <w:tcPr>
            <w:tcW w:w="96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other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Total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Non-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pPr>
            <w:r>
              <w:rPr/>
              <w:t xml:space="preserve">  </w:t>
            </w:r>
          </w:p>
        </w:tc>
        <w:tc>
          <w:tcPr>
            <w:tcW w:w="685" w:type="dxa"/>
            <w:gridSpan w:val="2"/>
            <w:tcBorders/>
            <w:vAlign w:val="center"/>
          </w:tcPr>
          <w:p>
            <w:pPr>
              <w:pStyle w:val="TableContents"/>
              <w:bidi w:val="0"/>
              <w:spacing w:before="0" w:after="283"/>
              <w:jc w:val="center"/>
              <w:rPr>
                <w:sz w:val="16"/>
              </w:rPr>
            </w:pPr>
            <w:r>
              <w:rPr>
                <w:b/>
                <w:sz w:val="16"/>
              </w:rPr>
              <w:t>Total</w:t>
            </w:r>
            <w:r>
              <w:rPr>
                <w:sz w:val="16"/>
              </w:rPr>
              <w:t xml:space="preserve"> </w:t>
            </w:r>
          </w:p>
        </w:tc>
        <w:tc>
          <w:tcPr>
            <w:tcW w:w="95" w:type="dxa"/>
            <w:tcBorders/>
            <w:vAlign w:val="center"/>
          </w:tcPr>
          <w:p>
            <w:pPr>
              <w:pStyle w:val="TableContents"/>
              <w:bidi w:val="0"/>
              <w:spacing w:before="0" w:after="283"/>
              <w:jc w:val="left"/>
              <w:rPr/>
            </w:pPr>
            <w:r>
              <w:rPr/>
              <w:t xml:space="preserve">  </w:t>
            </w:r>
          </w:p>
        </w:tc>
      </w:tr>
      <w:tr>
        <w:trPr/>
        <w:tc>
          <w:tcPr>
            <w:tcW w:w="113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Preferred stock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Preferred stock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Common stock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paid-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Accumulated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comprehensive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Company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controlling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equity </w:t>
            </w:r>
          </w:p>
        </w:tc>
        <w:tc>
          <w:tcPr>
            <w:tcW w:w="9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in capital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deficit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loss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equity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interests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(deficit) </w:t>
            </w:r>
          </w:p>
        </w:tc>
        <w:tc>
          <w:tcPr>
            <w:tcW w:w="9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January 1, 2026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196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224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6,071,324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61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468,915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(489,697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(1,541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(22,262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9,458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(12,804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Issuance of common stock for Series G preferred stock installment redemption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1,855,442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18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525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543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543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Stock-based compensation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886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886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886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Issuance of Series H Preferred Stock in private placement, net of transaction costs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31,333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28,269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28,269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28,269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G Preferred Stock dividends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(82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(82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(82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Extinguishment of Series G Preferred Stock and convertible notes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(196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(224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4,356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4,356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4,356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Foreign currency translation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(141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(141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41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(100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Other comprehensive income, net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loss for the period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(11,202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(11,202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(11,012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March 31, 2026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31,333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7,926,766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79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502,869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(500,899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(1,660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389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9,689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10,078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Issuance of common stock for vested stock awards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545,000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Stock-based compensation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98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98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98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Foreign currency translation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(123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(123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(63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Other comprehensive income, net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loss for the period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(2,240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(2,240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357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(1,883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June 30, 2026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35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31,333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8,471,766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84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502,962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(503,139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(1,761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(1,854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10,106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8,252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form an integral part of these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CHANGES IN TEMPORARY EQUITY AND STOCKHOLDERS’ EQUITY (DEFICIT) (Continued)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68"/>
        <w:gridCol w:w="61"/>
        <w:gridCol w:w="76"/>
        <w:gridCol w:w="426"/>
        <w:gridCol w:w="81"/>
        <w:gridCol w:w="61"/>
        <w:gridCol w:w="175"/>
        <w:gridCol w:w="430"/>
        <w:gridCol w:w="80"/>
        <w:gridCol w:w="61"/>
        <w:gridCol w:w="61"/>
        <w:gridCol w:w="740"/>
        <w:gridCol w:w="61"/>
        <w:gridCol w:w="61"/>
        <w:gridCol w:w="179"/>
        <w:gridCol w:w="426"/>
        <w:gridCol w:w="61"/>
        <w:gridCol w:w="61"/>
        <w:gridCol w:w="155"/>
        <w:gridCol w:w="630"/>
        <w:gridCol w:w="80"/>
        <w:gridCol w:w="61"/>
        <w:gridCol w:w="136"/>
        <w:gridCol w:w="829"/>
        <w:gridCol w:w="80"/>
        <w:gridCol w:w="61"/>
        <w:gridCol w:w="200"/>
        <w:gridCol w:w="885"/>
        <w:gridCol w:w="80"/>
        <w:gridCol w:w="61"/>
        <w:gridCol w:w="134"/>
        <w:gridCol w:w="591"/>
        <w:gridCol w:w="80"/>
        <w:gridCol w:w="61"/>
        <w:gridCol w:w="198"/>
        <w:gridCol w:w="767"/>
        <w:gridCol w:w="80"/>
        <w:gridCol w:w="61"/>
        <w:gridCol w:w="110"/>
        <w:gridCol w:w="485"/>
        <w:gridCol w:w="111"/>
      </w:tblGrid>
      <w:tr>
        <w:trPr/>
        <w:tc>
          <w:tcPr>
            <w:tcW w:w="1168"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502" w:type="dxa"/>
            <w:gridSpan w:val="2"/>
            <w:tcBorders/>
            <w:vAlign w:val="center"/>
          </w:tcPr>
          <w:p>
            <w:pPr>
              <w:pStyle w:val="TableContents"/>
              <w:bidi w:val="0"/>
              <w:spacing w:before="0" w:after="283"/>
              <w:jc w:val="center"/>
              <w:rPr/>
            </w:pPr>
            <w:r>
              <w:rPr/>
              <w:t xml:space="preserve">  </w:t>
            </w:r>
          </w:p>
        </w:tc>
        <w:tc>
          <w:tcPr>
            <w:tcW w:w="81"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center"/>
              <w:rPr/>
            </w:pPr>
            <w:r>
              <w:rPr/>
              <w:t xml:space="preserve">  </w:t>
            </w:r>
          </w:p>
        </w:tc>
        <w:tc>
          <w:tcPr>
            <w:tcW w:w="80" w:type="dxa"/>
            <w:tcBorders>
              <w:right w:val="single" w:sz="8" w:space="0" w:color="000000"/>
            </w:tcBorders>
            <w:tcMar>
              <w:right w:w="28" w:type="dxa"/>
            </w:tcMar>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801" w:type="dxa"/>
            <w:gridSpan w:val="2"/>
            <w:tcBorders/>
            <w:vAlign w:val="center"/>
          </w:tcPr>
          <w:p>
            <w:pPr>
              <w:pStyle w:val="TableContents"/>
              <w:bidi w:val="0"/>
              <w:spacing w:before="0" w:after="283"/>
              <w:jc w:val="center"/>
              <w:rPr/>
            </w:pPr>
            <w:r>
              <w:rPr/>
              <w:t xml:space="preserve">  </w:t>
            </w:r>
          </w:p>
        </w:tc>
        <w:tc>
          <w:tcPr>
            <w:tcW w:w="61"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center"/>
              <w:rPr/>
            </w:pPr>
            <w:r>
              <w:rPr/>
              <w:t xml:space="preserve">  </w:t>
            </w:r>
          </w:p>
        </w:tc>
        <w:tc>
          <w:tcPr>
            <w:tcW w:w="61"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78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96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108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72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Accumulated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pPr>
            <w:r>
              <w:rPr/>
              <w:t xml:space="preserve">  </w:t>
            </w:r>
          </w:p>
        </w:tc>
        <w:tc>
          <w:tcPr>
            <w:tcW w:w="595" w:type="dxa"/>
            <w:gridSpan w:val="2"/>
            <w:tcBorders/>
            <w:vAlign w:val="center"/>
          </w:tcPr>
          <w:p>
            <w:pPr>
              <w:pStyle w:val="TableContents"/>
              <w:bidi w:val="0"/>
              <w:spacing w:before="0" w:after="283"/>
              <w:jc w:val="center"/>
              <w:rPr/>
            </w:pPr>
            <w:r>
              <w:rPr/>
              <w:t xml:space="preserve">  </w:t>
            </w:r>
          </w:p>
        </w:tc>
        <w:tc>
          <w:tcPr>
            <w:tcW w:w="111" w:type="dxa"/>
            <w:tcBorders/>
            <w:vAlign w:val="center"/>
          </w:tcPr>
          <w:p>
            <w:pPr>
              <w:pStyle w:val="TableContents"/>
              <w:bidi w:val="0"/>
              <w:spacing w:before="0" w:after="283"/>
              <w:jc w:val="left"/>
              <w:rPr/>
            </w:pPr>
            <w:r>
              <w:rPr/>
              <w:t xml:space="preserve">  </w:t>
            </w:r>
          </w:p>
        </w:tc>
      </w:tr>
      <w:tr>
        <w:trPr/>
        <w:tc>
          <w:tcPr>
            <w:tcW w:w="1168"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4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Series G Convertible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pPr>
            <w:r>
              <w:rPr/>
              <w:t xml:space="preserve">  </w:t>
            </w:r>
          </w:p>
        </w:tc>
        <w:tc>
          <w:tcPr>
            <w:tcW w:w="801" w:type="dxa"/>
            <w:gridSpan w:val="2"/>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605" w:type="dxa"/>
            <w:gridSpan w:val="2"/>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Additional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pPr>
            <w:r>
              <w:rPr/>
              <w:t xml:space="preserve">  </w:t>
            </w:r>
          </w:p>
        </w:tc>
        <w:tc>
          <w:tcPr>
            <w:tcW w:w="965" w:type="dxa"/>
            <w:gridSpan w:val="2"/>
            <w:tcBorders/>
            <w:vAlign w:val="center"/>
          </w:tcPr>
          <w:p>
            <w:pPr>
              <w:pStyle w:val="TableContents"/>
              <w:bidi w:val="0"/>
              <w:spacing w:before="0" w:after="283"/>
              <w:jc w:val="left"/>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Additional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pPr>
            <w:r>
              <w:rPr/>
              <w:t xml:space="preserve">  </w:t>
            </w:r>
          </w:p>
        </w:tc>
        <w:tc>
          <w:tcPr>
            <w:tcW w:w="725" w:type="dxa"/>
            <w:gridSpan w:val="2"/>
            <w:tcBorders/>
            <w:vAlign w:val="center"/>
          </w:tcPr>
          <w:p>
            <w:pPr>
              <w:pStyle w:val="TableContents"/>
              <w:bidi w:val="0"/>
              <w:spacing w:before="0" w:after="283"/>
              <w:jc w:val="center"/>
              <w:rPr/>
            </w:pPr>
            <w:r>
              <w:rPr/>
              <w:t xml:space="preserve">  </w:t>
            </w:r>
          </w:p>
        </w:tc>
        <w:tc>
          <w:tcPr>
            <w:tcW w:w="80"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other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pPr>
            <w:r>
              <w:rPr/>
              <w:t xml:space="preserve">  </w:t>
            </w:r>
          </w:p>
        </w:tc>
        <w:tc>
          <w:tcPr>
            <w:tcW w:w="595" w:type="dxa"/>
            <w:gridSpan w:val="2"/>
            <w:tcBorders/>
            <w:vAlign w:val="center"/>
          </w:tcPr>
          <w:p>
            <w:pPr>
              <w:pStyle w:val="TableContents"/>
              <w:bidi w:val="0"/>
              <w:spacing w:before="0" w:after="283"/>
              <w:jc w:val="center"/>
              <w:rPr/>
            </w:pPr>
            <w:r>
              <w:rPr/>
              <w:t xml:space="preserve">  </w:t>
            </w:r>
          </w:p>
        </w:tc>
        <w:tc>
          <w:tcPr>
            <w:tcW w:w="111" w:type="dxa"/>
            <w:tcBorders/>
            <w:vAlign w:val="center"/>
          </w:tcPr>
          <w:p>
            <w:pPr>
              <w:pStyle w:val="TableContents"/>
              <w:bidi w:val="0"/>
              <w:spacing w:before="0" w:after="283"/>
              <w:jc w:val="left"/>
              <w:rPr/>
            </w:pPr>
            <w:r>
              <w:rPr/>
              <w:t xml:space="preserve">  </w:t>
            </w:r>
          </w:p>
        </w:tc>
      </w:tr>
      <w:tr>
        <w:trPr/>
        <w:tc>
          <w:tcPr>
            <w:tcW w:w="1168"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Preferred stock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Common stock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paid-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Accumulated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comprehensive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Company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controlling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Total </w:t>
            </w:r>
          </w:p>
        </w:tc>
        <w:tc>
          <w:tcPr>
            <w:tcW w:w="111"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vAlign w:val="center"/>
          </w:tcPr>
          <w:p>
            <w:pPr>
              <w:pStyle w:val="TableContents"/>
              <w:bidi w:val="0"/>
              <w:spacing w:before="0" w:after="283"/>
              <w:jc w:val="left"/>
              <w:rPr/>
            </w:pPr>
            <w:r>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w:t>
            </w:r>
          </w:p>
        </w:tc>
        <w:tc>
          <w:tcPr>
            <w:tcW w:w="8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 </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in capital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deficit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loss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equity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interests </w:t>
            </w:r>
          </w:p>
        </w:tc>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equity </w:t>
            </w:r>
          </w:p>
        </w:tc>
        <w:tc>
          <w:tcPr>
            <w:tcW w:w="111"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January 1, 2025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5,261,024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53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473,824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(472,706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(1,959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(788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8,530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7,742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Stock-based compensation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80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80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83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Issuance of Series G Preferred Stock in private placement, net of transaction costs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4,000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G Preferred Stock accretion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499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(499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(499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(499 </w:t>
            </w:r>
          </w:p>
        </w:tc>
        <w:tc>
          <w:tcPr>
            <w:tcW w:w="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G Preferred Stock dividends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68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(68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(68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(68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Foreign currency translation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pPr>
            <w:r>
              <w:rPr/>
              <w:t xml:space="preserve">  </w:t>
            </w:r>
          </w:p>
        </w:tc>
        <w:tc>
          <w:tcPr>
            <w:tcW w:w="175" w:type="dxa"/>
            <w:tcBorders/>
            <w:shd w:fill="FFFFFF" w:val="clear"/>
            <w:vAlign w:val="center"/>
          </w:tcPr>
          <w:p>
            <w:pPr>
              <w:pStyle w:val="TableContents"/>
              <w:bidi w:val="0"/>
              <w:spacing w:before="0" w:after="283"/>
              <w:jc w:val="left"/>
              <w:rPr/>
            </w:pPr>
            <w:r>
              <w:rPr/>
              <w:t xml:space="preserve">  </w:t>
            </w:r>
          </w:p>
        </w:tc>
        <w:tc>
          <w:tcPr>
            <w:tcW w:w="430" w:type="dxa"/>
            <w:tcBorders/>
            <w:shd w:fill="FFFFFF" w:val="clear"/>
            <w:vAlign w:val="center"/>
          </w:tcPr>
          <w:p>
            <w:pPr>
              <w:pStyle w:val="TableContents"/>
              <w:bidi w:val="0"/>
              <w:spacing w:before="0" w:after="283"/>
              <w:jc w:val="right"/>
              <w:rPr/>
            </w:pPr>
            <w:r>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pPr>
            <w:r>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199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189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loss for the period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(4,719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(4,719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131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(4,588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March 31, 2025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4,000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567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5,261,024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53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473,337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(477,425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(1,760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(5,795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8,654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2,859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Stock-based compensation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599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599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599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G Preferred Stock accretion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583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(583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(583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(583 </w:t>
            </w:r>
          </w:p>
        </w:tc>
        <w:tc>
          <w:tcPr>
            <w:tcW w:w="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G Preferred Stock dividends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81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(81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(81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(81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Accrual of Series G Preferred Stock and dividend redemption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(667 </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(816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Deemed dividends on Preferred Stock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(108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(108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(108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Reclass of warrant liability upon warrant modification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2,658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2,658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2,658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Foreign currency translation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390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390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19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409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Other comprehensive income, net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loss for the period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(2,269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(2,269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217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(2,052 </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r>
      <w:tr>
        <w:trPr/>
        <w:tc>
          <w:tcPr>
            <w:tcW w:w="11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June 30, 2025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3,333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415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5,261,024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53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475,822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(479,694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(1,362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(5,181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8,890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3,709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form an integral part of these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1" w:name="new_002"/>
      <w:bookmarkEnd w:id="81"/>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695"/>
        <w:gridCol w:w="117"/>
        <w:gridCol w:w="203"/>
        <w:gridCol w:w="841"/>
        <w:gridCol w:w="149"/>
        <w:gridCol w:w="142"/>
        <w:gridCol w:w="203"/>
        <w:gridCol w:w="713"/>
        <w:gridCol w:w="142"/>
      </w:tblGrid>
      <w:tr>
        <w:trPr/>
        <w:tc>
          <w:tcPr>
            <w:tcW w:w="7695" w:type="dxa"/>
            <w:tcBorders/>
            <w:vAlign w:val="center"/>
          </w:tcPr>
          <w:p>
            <w:pPr>
              <w:pStyle w:val="TableContents"/>
              <w:bidi w:val="0"/>
              <w:spacing w:before="0" w:after="283"/>
              <w:jc w:val="left"/>
              <w:rPr/>
            </w:pPr>
            <w:r>
              <w:rPr/>
              <w:t xml:space="preserve">  </w:t>
            </w:r>
          </w:p>
        </w:tc>
        <w:tc>
          <w:tcPr>
            <w:tcW w:w="11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w:t>
            </w:r>
          </w:p>
        </w:tc>
        <w:tc>
          <w:tcPr>
            <w:tcW w:w="14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vAlign w:val="center"/>
          </w:tcPr>
          <w:p>
            <w:pPr>
              <w:pStyle w:val="TableContents"/>
              <w:bidi w:val="0"/>
              <w:spacing w:before="0" w:after="283"/>
              <w:jc w:val="left"/>
              <w:rPr/>
            </w:pPr>
            <w:r>
              <w:rPr/>
              <w:t xml:space="preserve">  </w:t>
            </w:r>
          </w:p>
        </w:tc>
        <w:tc>
          <w:tcPr>
            <w:tcW w:w="11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4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4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flows from operating activities </w:t>
            </w:r>
          </w:p>
        </w:tc>
        <w:tc>
          <w:tcPr>
            <w:tcW w:w="117"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841" w:type="dxa"/>
            <w:tcBorders/>
            <w:shd w:fill="CCEEFF" w:val="clear"/>
            <w:vAlign w:val="center"/>
          </w:tcPr>
          <w:p>
            <w:pPr>
              <w:pStyle w:val="TableContents"/>
              <w:bidi w:val="0"/>
              <w:spacing w:before="0" w:after="283"/>
              <w:jc w:val="right"/>
              <w:rPr/>
            </w:pPr>
            <w:r>
              <w:rPr/>
              <w:t xml:space="preserve">  </w:t>
            </w:r>
          </w:p>
        </w:tc>
        <w:tc>
          <w:tcPr>
            <w:tcW w:w="149" w:type="dxa"/>
            <w:tcBorders/>
            <w:shd w:fill="CCEEFF" w:val="clear"/>
            <w:vAlign w:val="center"/>
          </w:tcPr>
          <w:p>
            <w:pPr>
              <w:pStyle w:val="TableContents"/>
              <w:bidi w:val="0"/>
              <w:spacing w:before="0" w:after="283"/>
              <w:jc w:val="lef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71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(12,895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(6,640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Adjustments to reconcile net loss to net cash used in operating activities: </w:t>
            </w:r>
          </w:p>
        </w:tc>
        <w:tc>
          <w:tcPr>
            <w:tcW w:w="117"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841" w:type="dxa"/>
            <w:tcBorders/>
            <w:shd w:fill="CCEEFF" w:val="clear"/>
            <w:vAlign w:val="center"/>
          </w:tcPr>
          <w:p>
            <w:pPr>
              <w:pStyle w:val="TableContents"/>
              <w:bidi w:val="0"/>
              <w:spacing w:before="0" w:after="283"/>
              <w:jc w:val="right"/>
              <w:rPr/>
            </w:pPr>
            <w:r>
              <w:rPr/>
              <w:t xml:space="preserve">  </w:t>
            </w:r>
          </w:p>
        </w:tc>
        <w:tc>
          <w:tcPr>
            <w:tcW w:w="149" w:type="dxa"/>
            <w:tcBorders/>
            <w:shd w:fill="CCEEFF" w:val="clear"/>
            <w:vAlign w:val="center"/>
          </w:tcPr>
          <w:p>
            <w:pPr>
              <w:pStyle w:val="TableContents"/>
              <w:bidi w:val="0"/>
              <w:spacing w:before="0" w:after="283"/>
              <w:jc w:val="lef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71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353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Unrealized gain on marketable securities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Foreign currency remeasurement (gain) loss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998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lease termination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(501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(401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disposal of assets, net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of operating lease right-of-use asset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158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490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Provision for credit losses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984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682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interest expense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713" w:type="dxa"/>
            <w:tcBorders/>
            <w:shd w:fill="FFFFFF" w:val="clear"/>
            <w:vAlign w:val="center"/>
          </w:tcPr>
          <w:p>
            <w:pPr>
              <w:pStyle w:val="TableContents"/>
              <w:bidi w:val="0"/>
              <w:spacing w:before="0" w:after="283"/>
              <w:jc w:val="righ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equity investment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derivative liability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5,584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(279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warrant liability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(3,215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issuance of Series G Preferred Stock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3,443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assets and liabilities: </w:t>
            </w:r>
          </w:p>
        </w:tc>
        <w:tc>
          <w:tcPr>
            <w:tcW w:w="117"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841" w:type="dxa"/>
            <w:tcBorders/>
            <w:shd w:fill="CCEEFF" w:val="clear"/>
            <w:vAlign w:val="center"/>
          </w:tcPr>
          <w:p>
            <w:pPr>
              <w:pStyle w:val="TableContents"/>
              <w:bidi w:val="0"/>
              <w:spacing w:before="0" w:after="283"/>
              <w:jc w:val="right"/>
              <w:rPr/>
            </w:pPr>
            <w:r>
              <w:rPr/>
              <w:t xml:space="preserve">  </w:t>
            </w:r>
          </w:p>
        </w:tc>
        <w:tc>
          <w:tcPr>
            <w:tcW w:w="149" w:type="dxa"/>
            <w:tcBorders/>
            <w:shd w:fill="CCEEFF" w:val="clear"/>
            <w:vAlign w:val="center"/>
          </w:tcPr>
          <w:p>
            <w:pPr>
              <w:pStyle w:val="TableContents"/>
              <w:bidi w:val="0"/>
              <w:spacing w:before="0" w:after="283"/>
              <w:jc w:val="lef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71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(increase) in inventory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decrease in accounts receivable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(259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278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 deferred revenue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(increase) in other assets, current and non-current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 other liabilities, current and non-current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(1,196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(1,287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increase in accounts payable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(1,066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used in operating activities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(9,117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(6,564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flows from investing activities </w:t>
            </w:r>
          </w:p>
        </w:tc>
        <w:tc>
          <w:tcPr>
            <w:tcW w:w="117"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841" w:type="dxa"/>
            <w:tcBorders/>
            <w:shd w:fill="CCEEFF" w:val="clear"/>
            <w:vAlign w:val="center"/>
          </w:tcPr>
          <w:p>
            <w:pPr>
              <w:pStyle w:val="TableContents"/>
              <w:bidi w:val="0"/>
              <w:spacing w:before="0" w:after="283"/>
              <w:jc w:val="right"/>
              <w:rPr/>
            </w:pPr>
            <w:r>
              <w:rPr/>
              <w:t xml:space="preserve">  </w:t>
            </w:r>
          </w:p>
        </w:tc>
        <w:tc>
          <w:tcPr>
            <w:tcW w:w="149" w:type="dxa"/>
            <w:tcBorders/>
            <w:shd w:fill="CCEEFF" w:val="clear"/>
            <w:vAlign w:val="center"/>
          </w:tcPr>
          <w:p>
            <w:pPr>
              <w:pStyle w:val="TableContents"/>
              <w:bidi w:val="0"/>
              <w:spacing w:before="0" w:after="283"/>
              <w:jc w:val="lef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71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jc w:val="left"/>
              <w:rPr/>
            </w:pPr>
            <w:r>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Acquisition of property and equipment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(559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(1,313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in marketable securities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 of marketable securities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4,488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provided by (used in) investing activities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(552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3,091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flows from financing activities </w:t>
            </w:r>
          </w:p>
        </w:tc>
        <w:tc>
          <w:tcPr>
            <w:tcW w:w="117"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841" w:type="dxa"/>
            <w:tcBorders/>
            <w:shd w:fill="FFFFFF" w:val="clear"/>
            <w:vAlign w:val="center"/>
          </w:tcPr>
          <w:p>
            <w:pPr>
              <w:pStyle w:val="TableContents"/>
              <w:bidi w:val="0"/>
              <w:spacing w:before="0" w:after="283"/>
              <w:jc w:val="right"/>
              <w:rPr/>
            </w:pPr>
            <w:r>
              <w:rPr/>
              <w:t xml:space="preserve">  </w:t>
            </w:r>
          </w:p>
        </w:tc>
        <w:tc>
          <w:tcPr>
            <w:tcW w:w="149" w:type="dxa"/>
            <w:tcBorders/>
            <w:shd w:fill="FFFFFF" w:val="clear"/>
            <w:vAlign w:val="center"/>
          </w:tcPr>
          <w:p>
            <w:pPr>
              <w:pStyle w:val="TableContents"/>
              <w:bidi w:val="0"/>
              <w:spacing w:before="0" w:after="283"/>
              <w:jc w:val="lef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713" w:type="dxa"/>
            <w:tcBorders/>
            <w:shd w:fill="FFFFFF" w:val="clear"/>
            <w:vAlign w:val="center"/>
          </w:tcPr>
          <w:p>
            <w:pPr>
              <w:pStyle w:val="TableContents"/>
              <w:bidi w:val="0"/>
              <w:spacing w:before="0" w:after="283"/>
              <w:jc w:val="righ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Series G Preferred Stock dividends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for shares withheld on vesting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for Repurchase of preferred stock, convertible notes and warrants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(9,000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from Series H Preferred Stock in private placement, net of offering costs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28,269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3,745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provided by financing activities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19,193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3,650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 of exchange rate changes on cash, cash equivalents and restricted cash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in cash, cash equivalents and restricted cash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9,478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cash equivalents, and restricted cash at beginning of the year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2,868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5,301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cash equivalents, and restricted cash at end of the period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12,346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5,514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paid for </w:t>
            </w:r>
          </w:p>
        </w:tc>
        <w:tc>
          <w:tcPr>
            <w:tcW w:w="117"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841" w:type="dxa"/>
            <w:tcBorders/>
            <w:shd w:fill="FFFFFF" w:val="clear"/>
            <w:vAlign w:val="center"/>
          </w:tcPr>
          <w:p>
            <w:pPr>
              <w:pStyle w:val="TableContents"/>
              <w:bidi w:val="0"/>
              <w:spacing w:before="0" w:after="283"/>
              <w:jc w:val="right"/>
              <w:rPr/>
            </w:pPr>
            <w:r>
              <w:rPr/>
              <w:t xml:space="preserve">  </w:t>
            </w:r>
          </w:p>
        </w:tc>
        <w:tc>
          <w:tcPr>
            <w:tcW w:w="149" w:type="dxa"/>
            <w:tcBorders/>
            <w:shd w:fill="FFFFFF" w:val="clear"/>
            <w:vAlign w:val="center"/>
          </w:tcPr>
          <w:p>
            <w:pPr>
              <w:pStyle w:val="TableContents"/>
              <w:bidi w:val="0"/>
              <w:spacing w:before="0" w:after="283"/>
              <w:jc w:val="lef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713" w:type="dxa"/>
            <w:tcBorders/>
            <w:shd w:fill="FFFFFF" w:val="clear"/>
            <w:vAlign w:val="center"/>
          </w:tcPr>
          <w:p>
            <w:pPr>
              <w:pStyle w:val="TableContents"/>
              <w:bidi w:val="0"/>
              <w:spacing w:before="0" w:after="283"/>
              <w:jc w:val="righ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Non-cash investing and financing transactions </w:t>
            </w:r>
          </w:p>
        </w:tc>
        <w:tc>
          <w:tcPr>
            <w:tcW w:w="117"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841" w:type="dxa"/>
            <w:tcBorders/>
            <w:shd w:fill="FFFFFF" w:val="clear"/>
            <w:vAlign w:val="center"/>
          </w:tcPr>
          <w:p>
            <w:pPr>
              <w:pStyle w:val="TableContents"/>
              <w:bidi w:val="0"/>
              <w:spacing w:before="0" w:after="283"/>
              <w:jc w:val="right"/>
              <w:rPr/>
            </w:pPr>
            <w:r>
              <w:rPr/>
              <w:t xml:space="preserve">  </w:t>
            </w:r>
          </w:p>
        </w:tc>
        <w:tc>
          <w:tcPr>
            <w:tcW w:w="149" w:type="dxa"/>
            <w:tcBorders/>
            <w:shd w:fill="FFFFFF" w:val="clear"/>
            <w:vAlign w:val="center"/>
          </w:tcPr>
          <w:p>
            <w:pPr>
              <w:pStyle w:val="TableContents"/>
              <w:bidi w:val="0"/>
              <w:spacing w:before="0" w:after="283"/>
              <w:jc w:val="lef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713" w:type="dxa"/>
            <w:tcBorders/>
            <w:shd w:fill="FFFFFF" w:val="clear"/>
            <w:vAlign w:val="center"/>
          </w:tcPr>
          <w:p>
            <w:pPr>
              <w:pStyle w:val="TableContents"/>
              <w:bidi w:val="0"/>
              <w:spacing w:before="0" w:after="283"/>
              <w:jc w:val="right"/>
              <w:rPr/>
            </w:pPr>
            <w:r>
              <w:rPr/>
              <w:t xml:space="preserve">  </w:t>
            </w:r>
          </w:p>
        </w:tc>
        <w:tc>
          <w:tcPr>
            <w:tcW w:w="142" w:type="dxa"/>
            <w:tcBorders/>
            <w:shd w:fill="FFFFFF" w:val="clear"/>
            <w:vAlign w:val="center"/>
          </w:tcPr>
          <w:p>
            <w:pPr>
              <w:pStyle w:val="TableContents"/>
              <w:bidi w:val="0"/>
              <w:spacing w:before="0" w:after="283"/>
              <w:jc w:val="left"/>
              <w:rPr/>
            </w:pPr>
            <w:r>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expenditures included in accounts payable, accrued expenses and other current liabilities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Accrual of Series G convertible preferred stock dividends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Accretion of Series G convertible preferred stock to redemption value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1,082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fair value of warrant liability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5,873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fair value of derivative liability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1,315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Series G convertible preferred stock redemption payable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829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Reclass of warrant liability upon warrant modification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2,658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Derecognition of right-of-use asset and operating lease liabilities upon termination of lease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liability remeasurement due to modification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conversion of Series G convertible preferred stock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Deemed dividend on Repurchase of Series G Preferred Stock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of Placement Agent warrants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7,152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Contribution on Repurchase of related party debt, net of warrant repurchase cost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4,250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form an integral part of these unaudited condensed consolidated financial statements.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2" w:name="new_003"/>
      <w:bookmarkEnd w:id="82"/>
      <w:r>
        <w:rPr>
          <w:rFonts w:ascii="Times New Roman;Times;Serif" w:hAnsi="Times New Roman;Times;Serif"/>
          <w:b/>
          <w:i w:val="false"/>
          <w:caps w:val="false"/>
          <w:smallCaps w:val="false"/>
          <w:sz w:val="20"/>
        </w:rPr>
        <w:t>NOTES TO CONDENSED CONSOLIDATED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for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Note 1. Business Overview and Going Concern</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8"/>
        </w:rPr>
      </w:pPr>
      <w:r>
        <w:rPr>
          <w:rFonts w:ascii="Times New Roman;Times;Serif" w:hAnsi="Times New Roman;Times;Serif"/>
          <w:b/>
          <w:i/>
          <w:caps w:val="false"/>
          <w:smallCaps w:val="false"/>
          <w:sz w:val="20"/>
        </w:rPr>
        <w:t>Overview</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Naples Wax Center provides upscale hair removal and skincare services through its branded locations.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Liquidity Analysis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unaudited condensed consolidated financial statements have been prepared assuming that the Company will continue as a going concern. While the Company has suffered recurring losses and negative cash flows from operations, management evaluated whether substantial doubt existed about the Company’s ability to continue as a going concern within one year after the date these unaudited condensed consolidated financial statements are issued.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financing options such as the February 2026 private placement (referenced below).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increase in liquidity during the six months ended June 30, 2026 was primarily attributable to proceeds from a private placement of Series H Convertible Preferred Stock with accompanying warrants completed in February 2026 (the “February 2026 Private Placement”), which generated net proceeds of $28,269. During the six months ended June 30,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focus on managing operating expenses, optimizing working capital, and improving cash flows from operations. Based on its current cash position and expected operating cash flows, the Company believes it has sufficient liquidity to fund its operations and meet its obligations for at least the next twelve months.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Accounting and Reporting Policies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color w:val="2F5496"/>
        </w:rPr>
      </w:pPr>
      <w:r>
        <w:rPr>
          <w:caps w:val="false"/>
          <w:smallCaps w:val="false"/>
          <w:color w:val="2F5496"/>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Basis of Presentation and Principles of Consolidation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2025, as amended. The condensed consolidated balance sheet as of December 31, 2025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 months ended June 30, 2026, are not necessarily indicative of the results that may be expected for the entire fiscal year or for any other interim period. All significant intercompany balances and transactions have been eliminated in consolidation.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as of the date of the unaudited condensed consolidated financial statements and the reported amounts of revenues and expenses for the periods presented. Actual results may differ from such estimates. Significant items subject to such estimates and assumptions include the Company’s long-lived assets, the valuation of stock-based compensation, fair value of warrants, derivative liability, deferred tax assets and liabilities, income tax uncertainties, and other contingencies.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Cash, Cash Equivalents, and Restricted Cash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reconciliation of the Company’s cash and cash equivalents in the unaudited condensed consolidated balance sheets to cash, cash equivalents and restricted cash in the unaudited condensed consolidated statements of cash flows as of June 30, 2026, and December 31, 2025 is as follows: </w:t>
      </w:r>
    </w:p>
    <w:p>
      <w:pPr>
        <w:pStyle w:val="TextBody"/>
        <w:bidi w:val="0"/>
        <w:spacing w:before="0" w:after="0"/>
        <w:ind w:left="0" w:right="0" w:hanging="0"/>
        <w:jc w:val="both"/>
        <w:rPr>
          <w:caps w:val="false"/>
          <w:smallCaps w:val="false"/>
        </w:rPr>
      </w:pPr>
      <w:r>
        <w:rPr>
          <w:caps w:val="false"/>
          <w:smallCaps w:val="false"/>
        </w:rPr>
        <w:t xml:space="preserve">  </w:t>
      </w:r>
    </w:p>
    <w:tbl>
      <w:tblPr>
        <w:tblW w:w="8563" w:type="dxa"/>
        <w:jc w:val="left"/>
        <w:tblInd w:w="0" w:type="dxa"/>
        <w:tblLayout w:type="fixed"/>
        <w:tblCellMar>
          <w:top w:w="0" w:type="dxa"/>
          <w:left w:w="0" w:type="dxa"/>
          <w:bottom w:w="0" w:type="dxa"/>
          <w:right w:w="0" w:type="dxa"/>
        </w:tblCellMar>
      </w:tblPr>
      <w:tblGrid>
        <w:gridCol w:w="5150"/>
        <w:gridCol w:w="120"/>
        <w:gridCol w:w="215"/>
        <w:gridCol w:w="1019"/>
        <w:gridCol w:w="120"/>
        <w:gridCol w:w="120"/>
        <w:gridCol w:w="345"/>
        <w:gridCol w:w="1339"/>
        <w:gridCol w:w="135"/>
      </w:tblGrid>
      <w:tr>
        <w:trPr/>
        <w:tc>
          <w:tcPr>
            <w:tcW w:w="515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denominated in United States dollars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denominated in currency other than United States dollars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1,460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1,451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and debit card receivables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cash, cash equivalents and restricted cash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12,346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2,868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 </w:t>
      </w:r>
    </w:p>
    <w:p>
      <w:pPr>
        <w:pStyle w:val="TextBody"/>
        <w:bidi w:val="0"/>
        <w:spacing w:before="0" w:after="0"/>
        <w:ind w:left="0" w:right="0" w:hanging="0"/>
        <w:jc w:val="left"/>
        <w:rPr>
          <w:caps w:val="false"/>
          <w:smallCaps w:val="false"/>
          <w:color w:val="2F5496"/>
        </w:rPr>
      </w:pPr>
      <w:r>
        <w:rPr>
          <w:caps w:val="false"/>
          <w:smallCaps w:val="false"/>
          <w:color w:val="2F5496"/>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F5496"/>
        </w:rPr>
      </w:pPr>
      <w:r>
        <w:rPr>
          <w:caps w:val="false"/>
          <w:smallCaps w:val="false"/>
          <w:color w:val="2F5496"/>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Note 4. Other current assets</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color w:val="2F5496"/>
        </w:rPr>
      </w:pPr>
      <w:r>
        <w:rPr>
          <w:caps w:val="false"/>
          <w:smallCaps w:val="false"/>
          <w:color w:val="2F5496"/>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other current assets consisted of the following: </w:t>
      </w:r>
    </w:p>
    <w:p>
      <w:pPr>
        <w:pStyle w:val="TextBody"/>
        <w:bidi w:val="0"/>
        <w:spacing w:before="0" w:after="0"/>
        <w:ind w:left="0" w:right="0" w:hanging="0"/>
        <w:jc w:val="both"/>
        <w:rPr>
          <w:caps w:val="false"/>
          <w:smallCaps w:val="false"/>
        </w:rPr>
      </w:pPr>
      <w:r>
        <w:rPr>
          <w:caps w:val="false"/>
          <w:smallCaps w:val="false"/>
        </w:rPr>
        <w:t xml:space="preserve">  </w:t>
      </w:r>
    </w:p>
    <w:tbl>
      <w:tblPr>
        <w:tblW w:w="5518" w:type="dxa"/>
        <w:jc w:val="left"/>
        <w:tblInd w:w="0" w:type="dxa"/>
        <w:tblLayout w:type="fixed"/>
        <w:tblCellMar>
          <w:top w:w="0" w:type="dxa"/>
          <w:left w:w="0" w:type="dxa"/>
          <w:bottom w:w="0" w:type="dxa"/>
          <w:right w:w="0" w:type="dxa"/>
        </w:tblCellMar>
      </w:tblPr>
      <w:tblGrid>
        <w:gridCol w:w="2105"/>
        <w:gridCol w:w="120"/>
        <w:gridCol w:w="252"/>
        <w:gridCol w:w="982"/>
        <w:gridCol w:w="120"/>
        <w:gridCol w:w="120"/>
        <w:gridCol w:w="345"/>
        <w:gridCol w:w="1339"/>
        <w:gridCol w:w="135"/>
      </w:tblGrid>
      <w:tr>
        <w:trPr/>
        <w:tc>
          <w:tcPr>
            <w:tcW w:w="21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1,217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other current assets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1,217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are predominantly comprised of financed and prepaid insurance policies and IT hosting services, which have terms of one year or less.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Property and Equipment,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comprised of the following: </w:t>
      </w:r>
    </w:p>
    <w:p>
      <w:pPr>
        <w:pStyle w:val="TextBody"/>
        <w:bidi w:val="0"/>
        <w:spacing w:before="0" w:after="0"/>
        <w:ind w:left="0" w:right="0" w:hanging="0"/>
        <w:jc w:val="both"/>
        <w:rPr>
          <w:caps w:val="false"/>
          <w:smallCaps w:val="false"/>
        </w:rPr>
      </w:pPr>
      <w:r>
        <w:rPr>
          <w:caps w:val="false"/>
          <w:smallCaps w:val="false"/>
        </w:rPr>
        <w:t xml:space="preserve">  </w:t>
      </w:r>
    </w:p>
    <w:tbl>
      <w:tblPr>
        <w:tblW w:w="6988" w:type="dxa"/>
        <w:jc w:val="left"/>
        <w:tblInd w:w="0" w:type="dxa"/>
        <w:tblLayout w:type="fixed"/>
        <w:tblCellMar>
          <w:top w:w="0" w:type="dxa"/>
          <w:left w:w="0" w:type="dxa"/>
          <w:bottom w:w="0" w:type="dxa"/>
          <w:right w:w="0" w:type="dxa"/>
        </w:tblCellMar>
      </w:tblPr>
      <w:tblGrid>
        <w:gridCol w:w="2855"/>
        <w:gridCol w:w="120"/>
        <w:gridCol w:w="172"/>
        <w:gridCol w:w="597"/>
        <w:gridCol w:w="125"/>
        <w:gridCol w:w="120"/>
        <w:gridCol w:w="235"/>
        <w:gridCol w:w="984"/>
        <w:gridCol w:w="125"/>
        <w:gridCol w:w="120"/>
        <w:gridCol w:w="1535"/>
      </w:tblGrid>
      <w:tr>
        <w:trPr/>
        <w:tc>
          <w:tcPr>
            <w:tcW w:w="28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pPr>
            <w:r>
              <w:rPr/>
              <w:t xml:space="preserve">  </w:t>
            </w:r>
          </w:p>
        </w:tc>
        <w:tc>
          <w:tcPr>
            <w:tcW w:w="1535" w:type="dxa"/>
            <w:tcBorders/>
            <w:vAlign w:val="center"/>
          </w:tcPr>
          <w:p>
            <w:pPr>
              <w:pStyle w:val="TableContents"/>
              <w:bidi w:val="0"/>
              <w:spacing w:before="0" w:after="283"/>
              <w:jc w:val="center"/>
              <w:rPr/>
            </w:pPr>
            <w:r>
              <w:rPr/>
              <w:t xml:space="preserve">  </w:t>
            </w:r>
          </w:p>
        </w:tc>
      </w:tr>
      <w:tr>
        <w:trPr/>
        <w:tc>
          <w:tcPr>
            <w:tcW w:w="28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Useful Life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Leasehold improvements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4,098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6,094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Average 5-8 years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Furniture and fixtures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468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35"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3-4 years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equipment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901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Maximum 5 years </w:t>
            </w:r>
          </w:p>
        </w:tc>
      </w:tr>
      <w:tr>
        <w:trPr/>
        <w:tc>
          <w:tcPr>
            <w:tcW w:w="28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5,313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7,590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35" w:type="dxa"/>
            <w:tcBorders/>
            <w:shd w:fill="FFFFFF" w:val="clear"/>
            <w:vAlign w:val="center"/>
          </w:tcPr>
          <w:p>
            <w:pPr>
              <w:pStyle w:val="TableContents"/>
              <w:bidi w:val="0"/>
              <w:spacing w:before="0" w:after="283"/>
              <w:jc w:val="left"/>
              <w:rPr/>
            </w:pPr>
            <w:r>
              <w:rPr/>
              <w:t xml:space="preserve">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Accumulated depreciation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(3,707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(5,925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35" w:type="dxa"/>
            <w:tcBorders/>
            <w:shd w:fill="CCEEFF" w:val="clear"/>
            <w:vAlign w:val="center"/>
          </w:tcPr>
          <w:p>
            <w:pPr>
              <w:pStyle w:val="TableContents"/>
              <w:bidi w:val="0"/>
              <w:spacing w:before="0" w:after="283"/>
              <w:jc w:val="right"/>
              <w:rPr/>
            </w:pPr>
            <w:r>
              <w:rPr/>
              <w:t xml:space="preserve">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property and equipment, net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1,606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1,665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35" w:type="dxa"/>
            <w:tcBorders/>
            <w:shd w:fill="FFFFFF" w:val="clear"/>
            <w:vAlign w:val="center"/>
          </w:tcPr>
          <w:p>
            <w:pPr>
              <w:pStyle w:val="TableContents"/>
              <w:bidi w:val="0"/>
              <w:spacing w:before="0" w:after="283"/>
              <w:jc w:val="righ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$132 and $255 for the three and six months ended June 30, 2026, respectively. Depreciation expense was $110 and $200 for the three and six months ended June 30, 2025, respectively.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Fair Value Measurements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 </w:t>
      </w:r>
      <w:r>
        <w:rPr>
          <w:rFonts w:ascii="Times New Roman;Times;Serif" w:hAnsi="Times New Roman;Times;Serif"/>
          <w:b w:val="false"/>
          <w:i w:val="false"/>
          <w:caps w:val="false"/>
          <w:smallCaps w:val="false"/>
          <w:sz w:val="20"/>
        </w:rPr>
        <w:t xml:space="preserve">Inputs are quoted prices (unadjusted) for identical assets or liabilities in active markets.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 </w:t>
      </w:r>
      <w:r>
        <w:rPr>
          <w:rFonts w:ascii="Times New Roman;Times;Serif" w:hAnsi="Times New Roman;Times;Serif"/>
          <w:b w:val="false"/>
          <w:i w:val="false"/>
          <w:caps w:val="false"/>
          <w:smallCaps w:val="false"/>
          <w:sz w:val="20"/>
        </w:rPr>
        <w:t xml:space="preserve">Pricing inputs are other than quoted prices in active markets included in Level 1, which are either directly or indirectly observable as of the reported date.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 </w:t>
      </w:r>
      <w:r>
        <w:rPr>
          <w:rFonts w:ascii="Times New Roman;Times;Serif" w:hAnsi="Times New Roman;Times;Serif"/>
          <w:b w:val="false"/>
          <w:i w:val="false"/>
          <w:caps w:val="false"/>
          <w:smallCaps w:val="false"/>
          <w:sz w:val="20"/>
        </w:rPr>
        <w:t xml:space="preserve">Unobservable inputs, that are supported by little or no market activity and are developed based on the best information available in the circumstances. For example, inputs derived through extrapolation or interpolation that cannot be corroborated by observable market data.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the placement in the fair value hierarchy of the Company’s assets and liabilities measured at fair value on a recurring and nonrecurring basis as of June 30, 2026 and December 31, 2025.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measurements discussed herein are based upon certain market assumptions and pertinent information available to management as of and during the six months ended June 30, 2026. The carrying amounts of cash equivalents, accounts receivable, and accounts payable approximated their fair values as of June 30, 2026 due to their short-term nature. The fair value of the bifurcated embedded derivative related to the convertible preferred stock and Note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 </w:t>
      </w:r>
    </w:p>
    <w:p>
      <w:pPr>
        <w:pStyle w:val="TextBody"/>
        <w:bidi w:val="0"/>
        <w:spacing w:before="0" w:after="0"/>
        <w:ind w:left="0" w:right="0" w:hanging="0"/>
        <w:jc w:val="both"/>
        <w:rPr>
          <w:caps w:val="false"/>
          <w:smallCaps w:val="false"/>
        </w:rPr>
      </w:pPr>
      <w:r>
        <w:rPr>
          <w:caps w:val="false"/>
          <w:smallCaps w:val="false"/>
        </w:rPr>
        <w:t xml:space="preserve">  </w:t>
      </w:r>
    </w:p>
    <w:tbl>
      <w:tblPr>
        <w:tblW w:w="9825" w:type="dxa"/>
        <w:jc w:val="left"/>
        <w:tblInd w:w="0" w:type="dxa"/>
        <w:tblLayout w:type="fixed"/>
        <w:tblCellMar>
          <w:top w:w="0" w:type="dxa"/>
          <w:left w:w="0" w:type="dxa"/>
          <w:bottom w:w="0" w:type="dxa"/>
          <w:right w:w="0" w:type="dxa"/>
        </w:tblCellMar>
      </w:tblPr>
      <w:tblGrid>
        <w:gridCol w:w="3605"/>
        <w:gridCol w:w="120"/>
        <w:gridCol w:w="174"/>
        <w:gridCol w:w="580"/>
        <w:gridCol w:w="120"/>
        <w:gridCol w:w="120"/>
        <w:gridCol w:w="468"/>
        <w:gridCol w:w="976"/>
        <w:gridCol w:w="144"/>
        <w:gridCol w:w="144"/>
        <w:gridCol w:w="400"/>
        <w:gridCol w:w="1074"/>
        <w:gridCol w:w="144"/>
        <w:gridCol w:w="144"/>
        <w:gridCol w:w="302"/>
        <w:gridCol w:w="1175"/>
        <w:gridCol w:w="135"/>
      </w:tblGrid>
      <w:tr>
        <w:trPr/>
        <w:tc>
          <w:tcPr>
            <w:tcW w:w="36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754" w:type="dxa"/>
            <w:gridSpan w:val="2"/>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9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measurement at reporting date using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754" w:type="dxa"/>
            <w:gridSpan w:val="2"/>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Quoted prices in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center"/>
              <w:rPr/>
            </w:pPr>
            <w:r>
              <w:rPr/>
              <w:t xml:space="preserve">  </w:t>
            </w:r>
          </w:p>
        </w:tc>
        <w:tc>
          <w:tcPr>
            <w:tcW w:w="144" w:type="dxa"/>
            <w:tcBorders/>
            <w:vAlign w:val="center"/>
          </w:tcPr>
          <w:p>
            <w:pPr>
              <w:pStyle w:val="TableContents"/>
              <w:bidi w:val="0"/>
              <w:spacing w:before="0" w:after="283"/>
              <w:jc w:val="left"/>
              <w:rPr/>
            </w:pPr>
            <w:r>
              <w:rPr/>
              <w:t xml:space="preserve">  </w:t>
            </w:r>
          </w:p>
        </w:tc>
        <w:tc>
          <w:tcPr>
            <w:tcW w:w="144" w:type="dxa"/>
            <w:tcBorders/>
            <w:vAlign w:val="center"/>
          </w:tcPr>
          <w:p>
            <w:pPr>
              <w:pStyle w:val="TableContents"/>
              <w:bidi w:val="0"/>
              <w:spacing w:before="0" w:after="283"/>
              <w:jc w:val="left"/>
              <w:rPr/>
            </w:pPr>
            <w:r>
              <w:rPr/>
              <w:t xml:space="preserve">  </w:t>
            </w:r>
          </w:p>
        </w:tc>
        <w:tc>
          <w:tcPr>
            <w:tcW w:w="1477" w:type="dxa"/>
            <w:gridSpan w:val="2"/>
            <w:tcBorders/>
            <w:vAlign w:val="center"/>
          </w:tcPr>
          <w:p>
            <w:pPr>
              <w:pStyle w:val="TableContents"/>
              <w:bidi w:val="0"/>
              <w:spacing w:before="0" w:after="283"/>
              <w:jc w:val="center"/>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36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754" w:type="dxa"/>
            <w:gridSpan w:val="2"/>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active markets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Significant other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Significant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754" w:type="dxa"/>
            <w:gridSpan w:val="2"/>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identical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observable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unobservable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Balance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assets (Level 1)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inputs (Level 2)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inputs (Level 3)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June 30, 2026: </w:t>
            </w:r>
          </w:p>
        </w:tc>
        <w:tc>
          <w:tcPr>
            <w:tcW w:w="120"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58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468" w:type="dxa"/>
            <w:tcBorders/>
            <w:shd w:fill="CCEEFF" w:val="clear"/>
            <w:vAlign w:val="center"/>
          </w:tcPr>
          <w:p>
            <w:pPr>
              <w:pStyle w:val="TableContents"/>
              <w:bidi w:val="0"/>
              <w:spacing w:before="0" w:after="283"/>
              <w:jc w:val="left"/>
              <w:rPr/>
            </w:pPr>
            <w:r>
              <w:rPr/>
              <w:t xml:space="preserve">  </w:t>
            </w:r>
          </w:p>
        </w:tc>
        <w:tc>
          <w:tcPr>
            <w:tcW w:w="976"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400" w:type="dxa"/>
            <w:tcBorders/>
            <w:shd w:fill="CCEEFF" w:val="clear"/>
            <w:vAlign w:val="center"/>
          </w:tcPr>
          <w:p>
            <w:pPr>
              <w:pStyle w:val="TableContents"/>
              <w:bidi w:val="0"/>
              <w:spacing w:before="0" w:after="283"/>
              <w:jc w:val="left"/>
              <w:rPr/>
            </w:pPr>
            <w:r>
              <w:rPr/>
              <w:t xml:space="preserve">  </w:t>
            </w:r>
          </w:p>
        </w:tc>
        <w:tc>
          <w:tcPr>
            <w:tcW w:w="1074"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302"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Recurring fair value measurements </w:t>
            </w:r>
          </w:p>
        </w:tc>
        <w:tc>
          <w:tcPr>
            <w:tcW w:w="120"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58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468" w:type="dxa"/>
            <w:tcBorders/>
            <w:shd w:fill="FFFFFF" w:val="clear"/>
            <w:vAlign w:val="center"/>
          </w:tcPr>
          <w:p>
            <w:pPr>
              <w:pStyle w:val="TableContents"/>
              <w:bidi w:val="0"/>
              <w:spacing w:before="0" w:after="283"/>
              <w:jc w:val="left"/>
              <w:rPr/>
            </w:pPr>
            <w:r>
              <w:rPr/>
              <w:t xml:space="preserve">  </w:t>
            </w:r>
          </w:p>
        </w:tc>
        <w:tc>
          <w:tcPr>
            <w:tcW w:w="976"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400" w:type="dxa"/>
            <w:tcBorders/>
            <w:shd w:fill="FFFFFF" w:val="clear"/>
            <w:vAlign w:val="center"/>
          </w:tcPr>
          <w:p>
            <w:pPr>
              <w:pStyle w:val="TableContents"/>
              <w:bidi w:val="0"/>
              <w:spacing w:before="0" w:after="283"/>
              <w:jc w:val="left"/>
              <w:rPr/>
            </w:pPr>
            <w:r>
              <w:rPr/>
              <w:t xml:space="preserve">  </w:t>
            </w:r>
          </w:p>
        </w:tc>
        <w:tc>
          <w:tcPr>
            <w:tcW w:w="1074"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and debt securities: </w:t>
            </w:r>
          </w:p>
        </w:tc>
        <w:tc>
          <w:tcPr>
            <w:tcW w:w="120"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58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468" w:type="dxa"/>
            <w:tcBorders/>
            <w:shd w:fill="CCEEFF" w:val="clear"/>
            <w:vAlign w:val="center"/>
          </w:tcPr>
          <w:p>
            <w:pPr>
              <w:pStyle w:val="TableContents"/>
              <w:bidi w:val="0"/>
              <w:spacing w:before="0" w:after="283"/>
              <w:jc w:val="left"/>
              <w:rPr/>
            </w:pPr>
            <w:r>
              <w:rPr/>
              <w:t xml:space="preserve">  </w:t>
            </w:r>
          </w:p>
        </w:tc>
        <w:tc>
          <w:tcPr>
            <w:tcW w:w="976"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400" w:type="dxa"/>
            <w:tcBorders/>
            <w:shd w:fill="CCEEFF" w:val="clear"/>
            <w:vAlign w:val="center"/>
          </w:tcPr>
          <w:p>
            <w:pPr>
              <w:pStyle w:val="TableContents"/>
              <w:bidi w:val="0"/>
              <w:spacing w:before="0" w:after="283"/>
              <w:jc w:val="left"/>
              <w:rPr/>
            </w:pPr>
            <w:r>
              <w:rPr/>
              <w:t xml:space="preserve">  </w:t>
            </w:r>
          </w:p>
        </w:tc>
        <w:tc>
          <w:tcPr>
            <w:tcW w:w="1074"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302"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Route1, Inc.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equity and debt securities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recurring fair value measurements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58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468" w:type="dxa"/>
            <w:tcBorders/>
            <w:shd w:fill="CCEEFF" w:val="clear"/>
            <w:vAlign w:val="center"/>
          </w:tcPr>
          <w:p>
            <w:pPr>
              <w:pStyle w:val="TableContents"/>
              <w:bidi w:val="0"/>
              <w:spacing w:before="0" w:after="283"/>
              <w:jc w:val="left"/>
              <w:rPr/>
            </w:pPr>
            <w:r>
              <w:rPr/>
              <w:t xml:space="preserve">  </w:t>
            </w:r>
          </w:p>
        </w:tc>
        <w:tc>
          <w:tcPr>
            <w:tcW w:w="976"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400" w:type="dxa"/>
            <w:tcBorders/>
            <w:shd w:fill="CCEEFF" w:val="clear"/>
            <w:vAlign w:val="center"/>
          </w:tcPr>
          <w:p>
            <w:pPr>
              <w:pStyle w:val="TableContents"/>
              <w:bidi w:val="0"/>
              <w:spacing w:before="0" w:after="283"/>
              <w:jc w:val="left"/>
              <w:rPr/>
            </w:pPr>
            <w:r>
              <w:rPr/>
              <w:t xml:space="preserve">  </w:t>
            </w:r>
          </w:p>
        </w:tc>
        <w:tc>
          <w:tcPr>
            <w:tcW w:w="1074"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302"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December 31, 2025 </w:t>
            </w:r>
          </w:p>
        </w:tc>
        <w:tc>
          <w:tcPr>
            <w:tcW w:w="120"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58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468" w:type="dxa"/>
            <w:tcBorders/>
            <w:shd w:fill="FFFFFF" w:val="clear"/>
            <w:vAlign w:val="center"/>
          </w:tcPr>
          <w:p>
            <w:pPr>
              <w:pStyle w:val="TableContents"/>
              <w:bidi w:val="0"/>
              <w:spacing w:before="0" w:after="283"/>
              <w:jc w:val="left"/>
              <w:rPr/>
            </w:pPr>
            <w:r>
              <w:rPr/>
              <w:t xml:space="preserve">  </w:t>
            </w:r>
          </w:p>
        </w:tc>
        <w:tc>
          <w:tcPr>
            <w:tcW w:w="976"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400" w:type="dxa"/>
            <w:tcBorders/>
            <w:shd w:fill="FFFFFF" w:val="clear"/>
            <w:vAlign w:val="center"/>
          </w:tcPr>
          <w:p>
            <w:pPr>
              <w:pStyle w:val="TableContents"/>
              <w:bidi w:val="0"/>
              <w:spacing w:before="0" w:after="283"/>
              <w:jc w:val="left"/>
              <w:rPr/>
            </w:pPr>
            <w:r>
              <w:rPr/>
              <w:t xml:space="preserve">  </w:t>
            </w:r>
          </w:p>
        </w:tc>
        <w:tc>
          <w:tcPr>
            <w:tcW w:w="1074"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Recurring fair value measurements </w:t>
            </w:r>
          </w:p>
        </w:tc>
        <w:tc>
          <w:tcPr>
            <w:tcW w:w="120" w:type="dxa"/>
            <w:tcBorders/>
            <w:shd w:fill="CCEEFF" w:val="clear"/>
            <w:vAlign w:val="center"/>
          </w:tcPr>
          <w:p>
            <w:pPr>
              <w:pStyle w:val="TableContents"/>
              <w:bidi w:val="0"/>
              <w:spacing w:before="0" w:after="283"/>
              <w:jc w:val="left"/>
              <w:rPr/>
            </w:pPr>
            <w:r>
              <w:rPr/>
              <w:t xml:space="preserve">  </w:t>
            </w:r>
          </w:p>
        </w:tc>
        <w:tc>
          <w:tcPr>
            <w:tcW w:w="174" w:type="dxa"/>
            <w:tcBorders/>
            <w:shd w:fill="CCEEFF" w:val="clear"/>
            <w:vAlign w:val="center"/>
          </w:tcPr>
          <w:p>
            <w:pPr>
              <w:pStyle w:val="TableContents"/>
              <w:bidi w:val="0"/>
              <w:spacing w:before="0" w:after="283"/>
              <w:jc w:val="left"/>
              <w:rPr/>
            </w:pPr>
            <w:r>
              <w:rPr/>
              <w:t xml:space="preserve">  </w:t>
            </w:r>
          </w:p>
        </w:tc>
        <w:tc>
          <w:tcPr>
            <w:tcW w:w="58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468" w:type="dxa"/>
            <w:tcBorders/>
            <w:shd w:fill="CCEEFF" w:val="clear"/>
            <w:vAlign w:val="center"/>
          </w:tcPr>
          <w:p>
            <w:pPr>
              <w:pStyle w:val="TableContents"/>
              <w:bidi w:val="0"/>
              <w:spacing w:before="0" w:after="283"/>
              <w:jc w:val="left"/>
              <w:rPr/>
            </w:pPr>
            <w:r>
              <w:rPr/>
              <w:t xml:space="preserve">  </w:t>
            </w:r>
          </w:p>
        </w:tc>
        <w:tc>
          <w:tcPr>
            <w:tcW w:w="976"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400" w:type="dxa"/>
            <w:tcBorders/>
            <w:shd w:fill="CCEEFF" w:val="clear"/>
            <w:vAlign w:val="center"/>
          </w:tcPr>
          <w:p>
            <w:pPr>
              <w:pStyle w:val="TableContents"/>
              <w:bidi w:val="0"/>
              <w:spacing w:before="0" w:after="283"/>
              <w:jc w:val="left"/>
              <w:rPr/>
            </w:pPr>
            <w:r>
              <w:rPr/>
              <w:t xml:space="preserve">  </w:t>
            </w:r>
          </w:p>
        </w:tc>
        <w:tc>
          <w:tcPr>
            <w:tcW w:w="1074"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144" w:type="dxa"/>
            <w:tcBorders/>
            <w:shd w:fill="CCEEFF" w:val="clear"/>
            <w:vAlign w:val="center"/>
          </w:tcPr>
          <w:p>
            <w:pPr>
              <w:pStyle w:val="TableContents"/>
              <w:bidi w:val="0"/>
              <w:spacing w:before="0" w:after="283"/>
              <w:jc w:val="left"/>
              <w:rPr/>
            </w:pPr>
            <w:r>
              <w:rPr/>
              <w:t xml:space="preserve">  </w:t>
            </w:r>
          </w:p>
        </w:tc>
        <w:tc>
          <w:tcPr>
            <w:tcW w:w="302"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and debt securities: </w:t>
            </w:r>
          </w:p>
        </w:tc>
        <w:tc>
          <w:tcPr>
            <w:tcW w:w="120"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58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468" w:type="dxa"/>
            <w:tcBorders/>
            <w:shd w:fill="FFFFFF" w:val="clear"/>
            <w:vAlign w:val="center"/>
          </w:tcPr>
          <w:p>
            <w:pPr>
              <w:pStyle w:val="TableContents"/>
              <w:bidi w:val="0"/>
              <w:spacing w:before="0" w:after="283"/>
              <w:jc w:val="left"/>
              <w:rPr/>
            </w:pPr>
            <w:r>
              <w:rPr/>
              <w:t xml:space="preserve">  </w:t>
            </w:r>
          </w:p>
        </w:tc>
        <w:tc>
          <w:tcPr>
            <w:tcW w:w="976"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400" w:type="dxa"/>
            <w:tcBorders/>
            <w:shd w:fill="FFFFFF" w:val="clear"/>
            <w:vAlign w:val="center"/>
          </w:tcPr>
          <w:p>
            <w:pPr>
              <w:pStyle w:val="TableContents"/>
              <w:bidi w:val="0"/>
              <w:spacing w:before="0" w:after="283"/>
              <w:jc w:val="left"/>
              <w:rPr/>
            </w:pPr>
            <w:r>
              <w:rPr/>
              <w:t xml:space="preserve">  </w:t>
            </w:r>
          </w:p>
        </w:tc>
        <w:tc>
          <w:tcPr>
            <w:tcW w:w="1074"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Route1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Marketable securities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equity and debt securities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Derivatives: </w:t>
            </w:r>
          </w:p>
        </w:tc>
        <w:tc>
          <w:tcPr>
            <w:tcW w:w="120"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58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468" w:type="dxa"/>
            <w:tcBorders/>
            <w:shd w:fill="FFFFFF" w:val="clear"/>
            <w:vAlign w:val="center"/>
          </w:tcPr>
          <w:p>
            <w:pPr>
              <w:pStyle w:val="TableContents"/>
              <w:bidi w:val="0"/>
              <w:spacing w:before="0" w:after="283"/>
              <w:jc w:val="left"/>
              <w:rPr/>
            </w:pPr>
            <w:r>
              <w:rPr/>
              <w:t xml:space="preserve">  </w:t>
            </w:r>
          </w:p>
        </w:tc>
        <w:tc>
          <w:tcPr>
            <w:tcW w:w="976"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400" w:type="dxa"/>
            <w:tcBorders/>
            <w:shd w:fill="FFFFFF" w:val="clear"/>
            <w:vAlign w:val="center"/>
          </w:tcPr>
          <w:p>
            <w:pPr>
              <w:pStyle w:val="TableContents"/>
              <w:bidi w:val="0"/>
              <w:spacing w:before="0" w:after="283"/>
              <w:jc w:val="left"/>
              <w:rPr/>
            </w:pPr>
            <w:r>
              <w:rPr/>
              <w:t xml:space="preserve">  </w:t>
            </w:r>
          </w:p>
        </w:tc>
        <w:tc>
          <w:tcPr>
            <w:tcW w:w="1074"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liability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derivatives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recurring fair value measurements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3,989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Nonrecurring fair value measurements </w:t>
            </w:r>
          </w:p>
        </w:tc>
        <w:tc>
          <w:tcPr>
            <w:tcW w:w="120" w:type="dxa"/>
            <w:tcBorders/>
            <w:shd w:fill="FFFFFF" w:val="clear"/>
            <w:vAlign w:val="center"/>
          </w:tcPr>
          <w:p>
            <w:pPr>
              <w:pStyle w:val="TableContents"/>
              <w:bidi w:val="0"/>
              <w:spacing w:before="0" w:after="283"/>
              <w:jc w:val="left"/>
              <w:rPr/>
            </w:pPr>
            <w:r>
              <w:rPr/>
              <w:t xml:space="preserve">  </w:t>
            </w:r>
          </w:p>
        </w:tc>
        <w:tc>
          <w:tcPr>
            <w:tcW w:w="174" w:type="dxa"/>
            <w:tcBorders/>
            <w:shd w:fill="FFFFFF" w:val="clear"/>
            <w:vAlign w:val="center"/>
          </w:tcPr>
          <w:p>
            <w:pPr>
              <w:pStyle w:val="TableContents"/>
              <w:bidi w:val="0"/>
              <w:spacing w:before="0" w:after="283"/>
              <w:jc w:val="left"/>
              <w:rPr/>
            </w:pPr>
            <w:r>
              <w:rPr/>
              <w:t xml:space="preserve">  </w:t>
            </w:r>
          </w:p>
        </w:tc>
        <w:tc>
          <w:tcPr>
            <w:tcW w:w="58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468" w:type="dxa"/>
            <w:tcBorders/>
            <w:shd w:fill="FFFFFF" w:val="clear"/>
            <w:vAlign w:val="center"/>
          </w:tcPr>
          <w:p>
            <w:pPr>
              <w:pStyle w:val="TableContents"/>
              <w:bidi w:val="0"/>
              <w:spacing w:before="0" w:after="283"/>
              <w:jc w:val="left"/>
              <w:rPr/>
            </w:pPr>
            <w:r>
              <w:rPr/>
              <w:t xml:space="preserve">  </w:t>
            </w:r>
          </w:p>
        </w:tc>
        <w:tc>
          <w:tcPr>
            <w:tcW w:w="976"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400" w:type="dxa"/>
            <w:tcBorders/>
            <w:shd w:fill="FFFFFF" w:val="clear"/>
            <w:vAlign w:val="center"/>
          </w:tcPr>
          <w:p>
            <w:pPr>
              <w:pStyle w:val="TableContents"/>
              <w:bidi w:val="0"/>
              <w:spacing w:before="0" w:after="283"/>
              <w:jc w:val="left"/>
              <w:rPr/>
            </w:pPr>
            <w:r>
              <w:rPr/>
              <w:t xml:space="preserve">  </w:t>
            </w:r>
          </w:p>
        </w:tc>
        <w:tc>
          <w:tcPr>
            <w:tcW w:w="1074" w:type="dxa"/>
            <w:tcBorders/>
            <w:shd w:fill="FFFFFF" w:val="clear"/>
            <w:vAlign w:val="center"/>
          </w:tcPr>
          <w:p>
            <w:pPr>
              <w:pStyle w:val="TableContents"/>
              <w:bidi w:val="0"/>
              <w:spacing w:before="0" w:after="283"/>
              <w:jc w:val="righ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144"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plant and equipment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1,665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right-of-use asset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1,039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senior secured note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6,689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6,689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nonrecurring fair value measurements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9,393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9,393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smallCaps/>
        </w:rPr>
        <w:t> </w:t>
      </w: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a summary of the change in the fair value of the bifurcated embedded derivative liabilities that are measured at fair value on a recurring basis: </w:t>
      </w:r>
    </w:p>
    <w:p>
      <w:pPr>
        <w:pStyle w:val="TextBody"/>
        <w:bidi w:val="0"/>
        <w:spacing w:before="0" w:after="0"/>
        <w:ind w:left="0" w:right="0" w:hanging="0"/>
        <w:jc w:val="left"/>
        <w:rPr>
          <w:caps w:val="false"/>
          <w:smallCaps w:val="false"/>
        </w:rPr>
      </w:pPr>
      <w:r>
        <w:rPr>
          <w:caps w:val="false"/>
          <w:smallCaps w:val="false"/>
        </w:rPr>
        <w:t xml:space="preserve">  </w:t>
      </w:r>
    </w:p>
    <w:tbl>
      <w:tblPr>
        <w:tblW w:w="7865" w:type="dxa"/>
        <w:jc w:val="left"/>
        <w:tblInd w:w="0" w:type="dxa"/>
        <w:tblLayout w:type="fixed"/>
        <w:tblCellMar>
          <w:top w:w="0" w:type="dxa"/>
          <w:left w:w="0" w:type="dxa"/>
          <w:bottom w:w="0" w:type="dxa"/>
          <w:right w:w="0" w:type="dxa"/>
        </w:tblCellMar>
      </w:tblPr>
      <w:tblGrid>
        <w:gridCol w:w="6845"/>
        <w:gridCol w:w="120"/>
        <w:gridCol w:w="170"/>
        <w:gridCol w:w="590"/>
        <w:gridCol w:w="140"/>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on January 1, 2026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3,870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bifurcated embedded derivative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5,584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Extinguishment of convertible preferred stock with bifurcated embedded derivative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(9,454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on June 30, 2026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Note 7. Accrued expenses and other current liabilities</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20"/>
        </w:rPr>
        <w:t>As of June 30, 2026, and December 31, 2025, accrued expenses and other current liabilities consisted of the following:</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7633" w:type="dxa"/>
        <w:jc w:val="left"/>
        <w:tblInd w:w="0" w:type="dxa"/>
        <w:tblLayout w:type="fixed"/>
        <w:tblCellMar>
          <w:top w:w="0" w:type="dxa"/>
          <w:left w:w="0" w:type="dxa"/>
          <w:bottom w:w="0" w:type="dxa"/>
          <w:right w:w="0" w:type="dxa"/>
        </w:tblCellMar>
      </w:tblPr>
      <w:tblGrid>
        <w:gridCol w:w="4220"/>
        <w:gridCol w:w="120"/>
        <w:gridCol w:w="252"/>
        <w:gridCol w:w="982"/>
        <w:gridCol w:w="120"/>
        <w:gridCol w:w="120"/>
        <w:gridCol w:w="345"/>
        <w:gridCol w:w="1339"/>
        <w:gridCol w:w="135"/>
      </w:tblGrid>
      <w:tr>
        <w:trPr/>
        <w:tc>
          <w:tcPr>
            <w:tcW w:w="42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compensation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905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Tax-related liabilities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527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area maintenance accruals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 Accruals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Gift certificates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miscellaneous accruals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1,058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accrued expenses and other current liabilities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2,657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2,940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Note 8. Commitments and Contingencies</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legal fees in the period in which they are incurred.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November 2025 Employment Litigation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a former employee initiated an employment-related legal proceeding against the Company, as previously disclosed in the Company’s Annual Report on Form 10-K for the year ended December 31, 2025. During the three months ended March 31, 2026, the Company entered into a confidential settlement agreement to resolve the matter. The matter was settled for a de minimis amount, and the case has been dismissed with prejudice.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XpresSpa Holdings, LLC (“XpresSpa”) v. Cordial Endeavor Concessions of Atlanta, LLC (“Cordial”), et al., Arbitration Case No. 2126399.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dispute arises out of alleged breaches of contract between the parties as well as other alleged improper conduct relating to the agreements. The arbitration hearing was completed in March 2026, and the arbitrator issued a final award on June 3, 2026. On July 30, 2026, the Superior Court of Fulton County, Georgia confirmed the arbitration award and entered final judgment. The final judgment includes an award of approximately $118 payable by the Company. The Company has not received notice of any challenge to the award, and the deadline to seek appellate review is September 3,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Arrangements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20"/>
        </w:rPr>
        <w:t>On May 16, 2025, the Company entered into a sales and marketing agreement with a vendor that obligates the Company to make payments totaling $662 over the next three years. Payments are due quarterly, with the first installment beginning in July 2025.</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both"/>
        <w:rPr>
          <w:caps w:val="false"/>
          <w:smallCaps w:val="false"/>
          <w:color w:val="2F5496"/>
        </w:rPr>
      </w:pPr>
      <w:r>
        <w:rPr>
          <w:caps w:val="false"/>
          <w:smallCaps w:val="false"/>
          <w:color w:val="2F5496"/>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 action is brought against the Company or one of its subsidiaries, the Company will investigate the allegation and vigorously defend itself.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Note 9. Stockholders’ Equity and Warrants</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February 2026 Private Placement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2026, the Company entered into the February 2026 Purchase Agreement with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(the “Series H Conversion Shares”), at an initial conversion price of $0.47 per share, subject to adjustment for certain customary adjustments, and (ii) the warrants (the “Series H Warrants”) to purchase up to 66,665,957 shares of common stock, at an initial exercise price of $0.345 per share, subject to adjustment for certain customary adjustments, for aggregate gross proceeds of approximately $31,300. The Series H Warrants expire three years from the date of issuance. The February 2026 Private Placement closed in two tranches, with 30,832 shares of Series H Preferred Stock and 65,600,000 Series H Warrants issued on February 27, 2026 (the “First Closing”), and 501 shares of Series H Preferred Stock and 1,065,957 Series H Warrants issued on March 3, 2026 (the “Second Closing”, and collectively with the First Closing, the “Closing”).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H Preferred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Series H Preferred Stock are set forth in the Series H Certificate of Designations. The shares of Series H Preferred Stock are convertible into the Series H Conversion Shares at the election of the holders of the Series H Preferred Stock (the “Holders”) at any time at an initial conversion price of $0.47 per share (the “Series H Conversion Price”). The Series H Conversion Price is subject to customary adjustments for stock dividends, stock splits, reclassifications, stock combinations and the like.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Series H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H Preferred Shares are not mandatorily redeemable and do not embody an unconditional obligation to settle in a variable number of equity shares. As such, the Series H Preferred Stock are classified as permanent equity on the unaudited condensed consolidated balance sheets. The holder’s contingent redemption right in the event of certain deemed liquidation events does not preclude permanent equity classification. The Series H Preferred Shares were determined to be more akin to an equity-like host than a debt-like host for purposes of assessing embedded derivative features for potential bifurcation. The embedded conversion feature is considered to be clearly and closely related to the associated convertible preferred stock host instrument and therefore was not bifurcated from the equity host.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H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price of the Series H Warrants is subject to customary adjustments for stock dividends, stock splits, reclassifications and the like. A holder of the Series H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Series H Warrants under ASC 480 and ASC 815 and determined that they met the requirements to be classified in stockholders’ equity upon issuance.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Placement Agency Agreement, the Company issued to the Placement Agent the Series H Placement Agent Warrants to purchase 5,333,277 shares of Common Stock with the same terms as the Series H Warrants except that the Series H Placement Agent Warrants have a term of five (5) years from the date of issuance. The Series H Placement Agent Warrants are within the scope of ASC 718 pursuant to ASC 718-10-20 and were determined to qualify for equity classification upon issuance. The total aggregate fair value of the Series H Placement Agent Warrants between the First Closing and the Second Closing of approximately $7,152 was included as a component of total transaction costs for the February 2026 Private Placement and was accordingly recorded in equity. The issuance date fair value of the Series H Placement Agent Warrants issued in the First Closing of $7,048 was determined using the </w:t>
      </w:r>
      <w:r>
        <w:rPr>
          <w:rFonts w:ascii="Times New Roman;Times;Serif" w:hAnsi="Times New Roman;Times;Serif"/>
          <w:b w:val="false"/>
          <w:i w:val="false"/>
          <w:caps w:val="false"/>
          <w:smallCaps w:val="false"/>
          <w:sz w:val="20"/>
          <w:shd w:fill="FFFFFF" w:val="clear"/>
        </w:rPr>
        <w:t xml:space="preserve">Black Scholes Model using the following weighted average assumptions: the fair value of the Company’s common stock per share of $1.49; remaining term of 5 years; equity volatility of 101%; and a risk-free interest rate of 3.5%. </w:t>
      </w:r>
      <w:r>
        <w:rPr>
          <w:rFonts w:ascii="Times New Roman;Times;Serif" w:hAnsi="Times New Roman;Times;Serif"/>
          <w:b w:val="false"/>
          <w:i w:val="false"/>
          <w:caps w:val="false"/>
          <w:smallCaps w:val="false"/>
          <w:sz w:val="20"/>
        </w:rPr>
        <w:t xml:space="preserve">The issuance date fair value of the Series H Placement Agent Warrants issued in the Second Closing of $104 was determined using the </w:t>
      </w:r>
      <w:r>
        <w:rPr>
          <w:rFonts w:ascii="Times New Roman;Times;Serif" w:hAnsi="Times New Roman;Times;Serif"/>
          <w:b w:val="false"/>
          <w:i w:val="false"/>
          <w:caps w:val="false"/>
          <w:smallCaps w:val="false"/>
          <w:sz w:val="20"/>
          <w:shd w:fill="FFFFFF" w:val="clear"/>
        </w:rPr>
        <w:t>Black Scholes Model using the following weighted average assumptions: the fair value of the Company’s common stock per share of $1.37; remaining term of 5 years; equity volatility of 100%; and a risk-free interest rate of 3.6%.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costs totaling $10,216 were incurred related to the February 2026 Private Placement consisting of cash expenses for placement agent fees, legal fees, and accounting costs related to the financing, as well as the fair value of Series H Placement Agent Warrants. Net proceeds from the February 2026 Private Placement totaled $28,269. As the Series H Preferred Stock and Series H Warrants were classified in permanent equity, all transaction costs were recorded as an offset to additional paid-in capital.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February 2026 Omnibus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allocated the total cash purchase price related to the Repurchase among the Series G Preferred Stock, the Notes, and the Amended and Restated Warrants using the relative fair value method on March 2, 2026 as summarized in the table below and accounted for each instrument in accordance with the relevant accounting guidance: </w:t>
      </w:r>
    </w:p>
    <w:p>
      <w:pPr>
        <w:pStyle w:val="TextBody"/>
        <w:bidi w:val="0"/>
        <w:spacing w:before="0" w:after="0"/>
        <w:ind w:left="0" w:right="0" w:hanging="0"/>
        <w:jc w:val="both"/>
        <w:rPr>
          <w:caps w:val="false"/>
          <w:smallCaps w:val="false"/>
        </w:rPr>
      </w:pPr>
      <w:r>
        <w:rPr>
          <w:caps w:val="false"/>
          <w:smallCaps w:val="false"/>
        </w:rPr>
        <w:t xml:space="preserve">  </w:t>
      </w:r>
    </w:p>
    <w:tbl>
      <w:tblPr>
        <w:tblW w:w="8467" w:type="dxa"/>
        <w:jc w:val="center"/>
        <w:tblInd w:w="0" w:type="dxa"/>
        <w:tblLayout w:type="fixed"/>
        <w:tblCellMar>
          <w:top w:w="0" w:type="dxa"/>
          <w:left w:w="0" w:type="dxa"/>
          <w:bottom w:w="0" w:type="dxa"/>
          <w:right w:w="0" w:type="dxa"/>
        </w:tblCellMar>
      </w:tblPr>
      <w:tblGrid>
        <w:gridCol w:w="2720"/>
        <w:gridCol w:w="120"/>
        <w:gridCol w:w="206"/>
        <w:gridCol w:w="773"/>
        <w:gridCol w:w="120"/>
        <w:gridCol w:w="120"/>
        <w:gridCol w:w="158"/>
        <w:gridCol w:w="1166"/>
        <w:gridCol w:w="230"/>
        <w:gridCol w:w="120"/>
        <w:gridCol w:w="285"/>
        <w:gridCol w:w="2314"/>
        <w:gridCol w:w="135"/>
      </w:tblGrid>
      <w:tr>
        <w:trPr/>
        <w:tc>
          <w:tcPr>
            <w:tcW w:w="27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979" w:type="dxa"/>
            <w:gridSpan w:val="2"/>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5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Allocated consideration based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Instrument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fair value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5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 relative fair value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G Preferred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1.57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8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12,906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50.92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4,582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Amended and Restated Warrants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12,044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47.51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23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4,277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25,348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23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9,000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Treatment – Redemption of Series G Preferred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calculation of the net carrying value of the Series G Preferred Shares before the Repurchase: </w:t>
      </w:r>
    </w:p>
    <w:p>
      <w:pPr>
        <w:pStyle w:val="TextBody"/>
        <w:bidi w:val="0"/>
        <w:spacing w:before="0" w:after="0"/>
        <w:ind w:left="0" w:right="0" w:hanging="0"/>
        <w:jc w:val="both"/>
        <w:rPr>
          <w:caps w:val="false"/>
          <w:smallCaps w:val="false"/>
        </w:rPr>
      </w:pPr>
      <w:r>
        <w:rPr>
          <w:caps w:val="false"/>
          <w:smallCaps w:val="false"/>
        </w:rPr>
        <w:t xml:space="preserve">  </w:t>
      </w:r>
    </w:p>
    <w:tbl>
      <w:tblPr>
        <w:tblW w:w="4740" w:type="dxa"/>
        <w:jc w:val="center"/>
        <w:tblInd w:w="0" w:type="dxa"/>
        <w:tblLayout w:type="fixed"/>
        <w:tblCellMar>
          <w:top w:w="0" w:type="dxa"/>
          <w:left w:w="0" w:type="dxa"/>
          <w:bottom w:w="0" w:type="dxa"/>
          <w:right w:w="0" w:type="dxa"/>
        </w:tblCellMar>
      </w:tblPr>
      <w:tblGrid>
        <w:gridCol w:w="3935"/>
        <w:gridCol w:w="120"/>
        <w:gridCol w:w="170"/>
        <w:gridCol w:w="380"/>
        <w:gridCol w:w="135"/>
      </w:tblGrid>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Stated value of outstanding Preferred Shares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196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of bifurcated derivative liability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Series G Convertible Preferred payable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93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incurred $0 and $82 respectively, in dividends, and paid $0 and $76 of dividends in cash related to the Series G Preferred Stock. Additionally, during the six months ended June 30, 2026 the Company issued 1,855,442 shares of its common stock in conversion of Series G Preferred Shares for a total value of $543.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estimated the $398 fair value of the remaining Series G Preferred Stock and the $22 fair value of the bifurcated embedded derivative related to the Series G Preferred Stock prior to the Repurchase on March 2, 2026 using a Monte Carlo simulation model, with the following inputs: the fair value of the Company’s common stock of $1.70 on the valuation date, estimated equity volatility of 148%, the time to maturity of 0.87 years, a discounted market interest rate 6.3%, a risk-free rate of 3.51%, dividend rate of 8.0%, a penalty dividend rate of 15.0%, and probability of default of 3.9%. Prior to the Repurchase, the Company recognized a gain of $0 and $40 related to the change in the fair value of the derivative during the three and six months ended June 30, 2026, respectively, which is recorded in change in fair value of derivative liabilities on the unaudited condensed consolidated statement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treated the extinguishment of the Series G Convertible Preferred Stock as a redemption in accordance with ASC Topic 260, Earnings Per Share. Accordingly, the Company thus recognized a total of $106 representing the difference between the allocated consideration of $141 and the carrying amount of the Series G Preferred Shares of $247 as a deemed contribution, which is added to net loss attributable to common stockholders in the unaudited consolidated statement of operations and comprehensive loss for the six months ended June 30, 2026 and recognized as additional paid-in capital.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Treatment – Extinguishment of the Notes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calculation of the net carrying value of the Notes before the Repurchase: </w:t>
      </w:r>
    </w:p>
    <w:p>
      <w:pPr>
        <w:pStyle w:val="TextBody"/>
        <w:bidi w:val="0"/>
        <w:spacing w:before="0" w:after="0"/>
        <w:ind w:left="0" w:right="0" w:hanging="0"/>
        <w:jc w:val="both"/>
        <w:rPr>
          <w:caps w:val="false"/>
          <w:smallCaps w:val="false"/>
        </w:rPr>
      </w:pPr>
      <w:r>
        <w:rPr>
          <w:caps w:val="false"/>
          <w:smallCaps w:val="false"/>
        </w:rPr>
        <w:t xml:space="preserve">  </w:t>
      </w:r>
    </w:p>
    <w:tbl>
      <w:tblPr>
        <w:tblW w:w="4605" w:type="dxa"/>
        <w:jc w:val="center"/>
        <w:tblInd w:w="0" w:type="dxa"/>
        <w:tblLayout w:type="fixed"/>
        <w:tblCellMar>
          <w:top w:w="0" w:type="dxa"/>
          <w:left w:w="0" w:type="dxa"/>
          <w:bottom w:w="0" w:type="dxa"/>
          <w:right w:w="0" w:type="dxa"/>
        </w:tblCellMar>
      </w:tblPr>
      <w:tblGrid>
        <w:gridCol w:w="3545"/>
        <w:gridCol w:w="120"/>
        <w:gridCol w:w="170"/>
        <w:gridCol w:w="635"/>
        <w:gridCol w:w="135"/>
      </w:tblGrid>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principal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3,387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Unamortized premium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interest payable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of bifurcated derivative liability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9,431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54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13,109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interest expense totaling approximately $0 and $53 during the three and six months ended June 30, 2026 prior to the Repurchase, reflecting an effective interest rate of 8.80% and which was comprised of approximately $46 interest at the stated rate, and approximately $7 representing the amortization of the premium recognized at issuance.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estimated the $12,906 fair value of the Notes and the $9,431 fair value of the bifurcated embedded derivative related to the Notes prior to the Repurchase on March 2, 2026 using a Monte Carlo simulation model, with the following inputs: the fair value of the Company’s common stock of $1.70 on the valuation date, estimated equity volatility of 108%, the time to maturity of 3.03 years, a discounted market interest rate of 6.5%, a risk-free rate of 3.43%, and probability of default of 15.6%. Prior to the Repurchase, the Company recognized a loss of $5,624 related to the change in the fair value of the derivative during the three and six months ended June 30, 2026, which is recorded in change in fair value of derivative liabilities on the unaudited condensed consolidated statement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repurchase of the Notes as a debt extinguishment in accordance with ASC Topic 470, Debt. Accordingly, the $8,527 difference between the allocated consideration of $4,583 and the carrying amount of the Notes of $13,109 was recognized as a capital contribution recognized in additional paid-in capital as the Notes were held by certain of the Company’s investors.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Treatment – Repurchase of the Amended and Restated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estimated the $12,044 fair value of the Amended and Restated Warrants prior to the Repurchase on March 2, 2026 using the </w:t>
      </w:r>
      <w:r>
        <w:rPr>
          <w:rFonts w:ascii="Times New Roman;Times;Serif" w:hAnsi="Times New Roman;Times;Serif"/>
          <w:b w:val="false"/>
          <w:i w:val="false"/>
          <w:caps w:val="false"/>
          <w:smallCaps w:val="false"/>
          <w:sz w:val="20"/>
          <w:shd w:fill="FFFFFF" w:val="clear"/>
        </w:rPr>
        <w:t>Black Scholes Model using the following weighted average assumptions: the fair value of the Company’s common stock per share of $1.70; remaining term of 3.87 years; equity volatility of 103%; and a risk-free interest rate of 3.49%.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repurchase of the Amended and Restated Warrants in accordance with the guidance in ASC Topic 815, Derivatives and Hedging, related to the repurchase of freestanding equity-classified instruments. Accordingly, the allocated consideration of $4,277 was recorded as reduction of additional paid-in capital.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activity related to the Company’s warrants during the six months ended June 30, 2026: </w:t>
      </w:r>
    </w:p>
    <w:p>
      <w:pPr>
        <w:pStyle w:val="TextBody"/>
        <w:bidi w:val="0"/>
        <w:spacing w:before="0" w:after="0"/>
        <w:ind w:left="0" w:right="0" w:hanging="0"/>
        <w:jc w:val="both"/>
        <w:rPr>
          <w:caps w:val="false"/>
          <w:smallCaps w:val="false"/>
        </w:rPr>
      </w:pPr>
      <w:r>
        <w:rPr>
          <w:caps w:val="false"/>
          <w:smallCaps w:val="false"/>
        </w:rPr>
        <w:t xml:space="preserve">  </w:t>
      </w:r>
    </w:p>
    <w:tbl>
      <w:tblPr>
        <w:tblW w:w="7552" w:type="dxa"/>
        <w:jc w:val="left"/>
        <w:tblInd w:w="0" w:type="dxa"/>
        <w:tblLayout w:type="fixed"/>
        <w:tblCellMar>
          <w:top w:w="0" w:type="dxa"/>
          <w:left w:w="0" w:type="dxa"/>
          <w:bottom w:w="0" w:type="dxa"/>
          <w:right w:w="0" w:type="dxa"/>
        </w:tblCellMar>
      </w:tblPr>
      <w:tblGrid>
        <w:gridCol w:w="1655"/>
        <w:gridCol w:w="120"/>
        <w:gridCol w:w="120"/>
        <w:gridCol w:w="1309"/>
        <w:gridCol w:w="125"/>
        <w:gridCol w:w="120"/>
        <w:gridCol w:w="398"/>
        <w:gridCol w:w="1211"/>
        <w:gridCol w:w="120"/>
        <w:gridCol w:w="120"/>
        <w:gridCol w:w="287"/>
        <w:gridCol w:w="1832"/>
        <w:gridCol w:w="135"/>
      </w:tblGrid>
      <w:tr>
        <w:trPr/>
        <w:tc>
          <w:tcPr>
            <w:tcW w:w="16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29" w:type="dxa"/>
            <w:gridSpan w:val="2"/>
            <w:tcBorders/>
            <w:vAlign w:val="center"/>
          </w:tcPr>
          <w:p>
            <w:pPr>
              <w:pStyle w:val="TableContents"/>
              <w:bidi w:val="0"/>
              <w:spacing w:before="0" w:after="283"/>
              <w:jc w:val="center"/>
              <w:rPr/>
            </w:pPr>
            <w:r>
              <w:rPr/>
              <w:t xml:space="preserve">  </w:t>
            </w:r>
          </w:p>
        </w:tc>
        <w:tc>
          <w:tcPr>
            <w:tcW w:w="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average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Remaining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6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 Warrants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price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contractual term (years)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December 31, 2025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9,045,000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Granted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71,999,234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0.35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8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2" w:type="dxa"/>
            <w:tcBorders/>
            <w:shd w:fill="FFFFFF" w:val="clear"/>
            <w:vAlign w:val="center"/>
          </w:tcPr>
          <w:p>
            <w:pPr>
              <w:pStyle w:val="TableContents"/>
              <w:bidi w:val="0"/>
              <w:spacing w:before="0" w:after="283"/>
              <w:jc w:val="center"/>
              <w:rPr>
                <w:caps w:val="false"/>
                <w:smallCaps w:val="false"/>
              </w:rPr>
            </w:pPr>
            <w:r>
              <w:rPr>
                <w:caps w:val="false"/>
                <w:smallCaps w:val="false"/>
              </w:rPr>
              <w:t xml:space="preserve">—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Repurchased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(9,045,000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2" w:type="dxa"/>
            <w:tcBorders/>
            <w:shd w:fill="CCEEFF" w:val="clear"/>
            <w:vAlign w:val="center"/>
          </w:tcPr>
          <w:p>
            <w:pPr>
              <w:pStyle w:val="TableContents"/>
              <w:bidi w:val="0"/>
              <w:spacing w:before="0" w:after="283"/>
              <w:jc w:val="center"/>
              <w:rPr>
                <w:caps w:val="false"/>
                <w:smallCaps w:val="false"/>
              </w:rPr>
            </w:pPr>
            <w:r>
              <w:rPr>
                <w:caps w:val="false"/>
                <w:smallCaps w:val="false"/>
              </w:rPr>
              <w:t xml:space="preserve">—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2026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71,999,234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0.35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8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2.81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outstanding warrants were exercisable as of June 30, 2026 with an intrinsic value of $50,039.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10. Stock-based Compensation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stock-based compensation for the three and six months ended June 30, 2026 was $98 and $984, respectively. Total stock-based compensation for the three and six months ended June 30, 2025 was $599 and $682, respectively. All stock-based compensation for the three and six months ended June 30, 2026 and June 30, 2025 is presented on the unaudited condensed consolidated statements of operations and comprehensive loss within general and administrative expense.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summarize information about stock options and RSU activity for the six months ended June 30, 2026: </w:t>
      </w:r>
    </w:p>
    <w:p>
      <w:pPr>
        <w:pStyle w:val="TextBody"/>
        <w:bidi w:val="0"/>
        <w:spacing w:before="0" w:after="0"/>
        <w:ind w:left="0" w:right="0" w:hanging="0"/>
        <w:jc w:val="both"/>
        <w:rPr>
          <w:caps w:val="false"/>
          <w:smallCaps w:val="false"/>
        </w:rPr>
      </w:pPr>
      <w:r>
        <w:rPr>
          <w:caps w:val="false"/>
          <w:smallCaps w:val="false"/>
        </w:rPr>
        <w:t xml:space="preserve">  </w:t>
      </w:r>
    </w:p>
    <w:tbl>
      <w:tblPr>
        <w:tblW w:w="8768" w:type="dxa"/>
        <w:jc w:val="left"/>
        <w:tblInd w:w="0" w:type="dxa"/>
        <w:tblLayout w:type="fixed"/>
        <w:tblCellMar>
          <w:top w:w="0" w:type="dxa"/>
          <w:left w:w="0" w:type="dxa"/>
          <w:bottom w:w="0" w:type="dxa"/>
          <w:right w:w="0" w:type="dxa"/>
        </w:tblCellMar>
      </w:tblPr>
      <w:tblGrid>
        <w:gridCol w:w="3125"/>
        <w:gridCol w:w="120"/>
        <w:gridCol w:w="120"/>
        <w:gridCol w:w="800"/>
        <w:gridCol w:w="125"/>
        <w:gridCol w:w="120"/>
        <w:gridCol w:w="230"/>
        <w:gridCol w:w="704"/>
        <w:gridCol w:w="120"/>
        <w:gridCol w:w="120"/>
        <w:gridCol w:w="120"/>
        <w:gridCol w:w="740"/>
        <w:gridCol w:w="125"/>
        <w:gridCol w:w="120"/>
        <w:gridCol w:w="216"/>
        <w:gridCol w:w="658"/>
        <w:gridCol w:w="120"/>
        <w:gridCol w:w="120"/>
        <w:gridCol w:w="965"/>
      </w:tblGrid>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0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3184"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options </w:t>
            </w:r>
          </w:p>
        </w:tc>
      </w:tr>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920" w:type="dxa"/>
            <w:gridSpan w:val="2"/>
            <w:tcBorders/>
            <w:vAlign w:val="center"/>
          </w:tcPr>
          <w:p>
            <w:pPr>
              <w:pStyle w:val="TableContents"/>
              <w:bidi w:val="0"/>
              <w:spacing w:before="0" w:after="283"/>
              <w:jc w:val="center"/>
              <w:rPr/>
            </w:pPr>
            <w:r>
              <w:rPr/>
              <w:t xml:space="preserve">  </w:t>
            </w:r>
          </w:p>
        </w:tc>
        <w:tc>
          <w:tcPr>
            <w:tcW w:w="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pPr>
            <w:r>
              <w:rPr/>
              <w:t xml:space="preserve">  </w:t>
            </w:r>
          </w:p>
        </w:tc>
        <w:tc>
          <w:tcPr>
            <w:tcW w:w="860" w:type="dxa"/>
            <w:gridSpan w:val="2"/>
            <w:tcBorders/>
            <w:vAlign w:val="center"/>
          </w:tcPr>
          <w:p>
            <w:pPr>
              <w:pStyle w:val="TableContents"/>
              <w:bidi w:val="0"/>
              <w:spacing w:before="0" w:after="283"/>
              <w:jc w:val="center"/>
              <w:rPr/>
            </w:pPr>
            <w:r>
              <w:rPr/>
              <w:t xml:space="preserve">  </w:t>
            </w:r>
          </w:p>
        </w:tc>
        <w:tc>
          <w:tcPr>
            <w:tcW w:w="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tc>
      </w:tr>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920" w:type="dxa"/>
            <w:gridSpan w:val="2"/>
            <w:tcBorders/>
            <w:vAlign w:val="center"/>
          </w:tcPr>
          <w:p>
            <w:pPr>
              <w:pStyle w:val="TableContents"/>
              <w:bidi w:val="0"/>
              <w:spacing w:before="0" w:after="283"/>
              <w:jc w:val="center"/>
              <w:rPr/>
            </w:pPr>
            <w:r>
              <w:rPr/>
              <w:t xml:space="preserve">  </w:t>
            </w:r>
          </w:p>
        </w:tc>
        <w:tc>
          <w:tcPr>
            <w:tcW w:w="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pPr>
            <w:r>
              <w:rPr/>
              <w:t xml:space="preserve">  </w:t>
            </w:r>
          </w:p>
        </w:tc>
        <w:tc>
          <w:tcPr>
            <w:tcW w:w="860" w:type="dxa"/>
            <w:gridSpan w:val="2"/>
            <w:tcBorders/>
            <w:vAlign w:val="center"/>
          </w:tcPr>
          <w:p>
            <w:pPr>
              <w:pStyle w:val="TableContents"/>
              <w:bidi w:val="0"/>
              <w:spacing w:before="0" w:after="283"/>
              <w:jc w:val="center"/>
              <w:rPr/>
            </w:pPr>
            <w:r>
              <w:rPr/>
              <w:t xml:space="preserve">  </w:t>
            </w:r>
          </w:p>
        </w:tc>
        <w:tc>
          <w:tcPr>
            <w:tcW w:w="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tc>
      </w:tr>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 date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remaining </w:t>
            </w:r>
          </w:p>
        </w:tc>
      </w:tr>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as of December 31, 2025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55,000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921,267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8.63 years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Granted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5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965" w:type="dxa"/>
            <w:tcBorders/>
            <w:shd w:fill="FFFFFF" w:val="clear"/>
            <w:vAlign w:val="center"/>
          </w:tcPr>
          <w:p>
            <w:pPr>
              <w:pStyle w:val="TableContents"/>
              <w:bidi w:val="0"/>
              <w:spacing w:before="0" w:after="283"/>
              <w:jc w:val="center"/>
              <w:rPr/>
            </w:pPr>
            <w:r>
              <w:rPr/>
              <w:t xml:space="preserve">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Exercised/Vested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(535,000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5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965" w:type="dxa"/>
            <w:tcBorders/>
            <w:shd w:fill="CCEEFF" w:val="clear"/>
            <w:vAlign w:val="center"/>
          </w:tcPr>
          <w:p>
            <w:pPr>
              <w:pStyle w:val="TableContents"/>
              <w:bidi w:val="0"/>
              <w:spacing w:before="0" w:after="283"/>
              <w:jc w:val="center"/>
              <w:rPr/>
            </w:pPr>
            <w:r>
              <w:rPr/>
              <w:t xml:space="preserve">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Forfeited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5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965" w:type="dxa"/>
            <w:tcBorders/>
            <w:shd w:fill="FFFFFF" w:val="clear"/>
            <w:vAlign w:val="center"/>
          </w:tcPr>
          <w:p>
            <w:pPr>
              <w:pStyle w:val="TableContents"/>
              <w:bidi w:val="0"/>
              <w:spacing w:before="0" w:after="283"/>
              <w:jc w:val="center"/>
              <w:rPr/>
            </w:pPr>
            <w:r>
              <w:rPr/>
              <w:t xml:space="preserve">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Expired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(22,144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5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965" w:type="dxa"/>
            <w:tcBorders/>
            <w:shd w:fill="CCEEFF" w:val="clear"/>
            <w:vAlign w:val="center"/>
          </w:tcPr>
          <w:p>
            <w:pPr>
              <w:pStyle w:val="TableContents"/>
              <w:bidi w:val="0"/>
              <w:spacing w:before="0" w:after="283"/>
              <w:jc w:val="center"/>
              <w:rPr/>
            </w:pPr>
            <w:r>
              <w:rPr/>
              <w:t xml:space="preserve">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as of June 30, 2026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899,123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8.28 years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Exercisable as of June 30, 2026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30" w:type="dxa"/>
            <w:tcBorders/>
            <w:shd w:fill="CCEEFF" w:val="clear"/>
            <w:vAlign w:val="center"/>
          </w:tcPr>
          <w:p>
            <w:pPr>
              <w:pStyle w:val="TableContents"/>
              <w:bidi w:val="0"/>
              <w:spacing w:before="0" w:after="283"/>
              <w:jc w:val="left"/>
              <w:rPr/>
            </w:pPr>
            <w:r>
              <w:rPr/>
              <w:t xml:space="preserve">  </w:t>
            </w:r>
          </w:p>
        </w:tc>
        <w:tc>
          <w:tcPr>
            <w:tcW w:w="704"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893,707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years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no unrecognized stock-based payment cost related to non-vested stock options as of June 30, 2026.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Unrecognized stock-based payment cost related to non-vested RSUs as of June 30, 2026 was $21.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11. Revenue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Disaggregation of Revenue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provides information about disaggregated revenue from contracts with customers by the nature of products and services provided: </w:t>
      </w:r>
    </w:p>
    <w:p>
      <w:pPr>
        <w:pStyle w:val="TextBody"/>
        <w:bidi w:val="0"/>
        <w:spacing w:before="0" w:after="0"/>
        <w:ind w:left="0" w:right="0" w:hanging="0"/>
        <w:jc w:val="both"/>
        <w:rPr>
          <w:caps w:val="false"/>
          <w:smallCaps w:val="false"/>
        </w:rPr>
      </w:pPr>
      <w:r>
        <w:rPr>
          <w:caps w:val="false"/>
          <w:smallCaps w:val="false"/>
        </w:rPr>
        <w:t xml:space="preserve">  </w:t>
      </w:r>
    </w:p>
    <w:tbl>
      <w:tblPr>
        <w:tblW w:w="4045" w:type="dxa"/>
        <w:jc w:val="left"/>
        <w:tblInd w:w="0" w:type="dxa"/>
        <w:tblLayout w:type="fixed"/>
        <w:tblCellMar>
          <w:top w:w="0" w:type="dxa"/>
          <w:left w:w="0" w:type="dxa"/>
          <w:bottom w:w="0" w:type="dxa"/>
          <w:right w:w="0" w:type="dxa"/>
        </w:tblCellMar>
      </w:tblPr>
      <w:tblGrid>
        <w:gridCol w:w="1940"/>
        <w:gridCol w:w="120"/>
        <w:gridCol w:w="170"/>
        <w:gridCol w:w="635"/>
        <w:gridCol w:w="120"/>
        <w:gridCol w:w="120"/>
        <w:gridCol w:w="170"/>
        <w:gridCol w:w="635"/>
        <w:gridCol w:w="135"/>
      </w:tblGrid>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point in time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9,397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10,379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over time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4,387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4,333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13,784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14,712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3965" w:type="dxa"/>
        <w:jc w:val="left"/>
        <w:tblInd w:w="0" w:type="dxa"/>
        <w:tblLayout w:type="fixed"/>
        <w:tblCellMar>
          <w:top w:w="0" w:type="dxa"/>
          <w:left w:w="0" w:type="dxa"/>
          <w:bottom w:w="0" w:type="dxa"/>
          <w:right w:w="0" w:type="dxa"/>
        </w:tblCellMar>
      </w:tblPr>
      <w:tblGrid>
        <w:gridCol w:w="1940"/>
        <w:gridCol w:w="120"/>
        <w:gridCol w:w="183"/>
        <w:gridCol w:w="573"/>
        <w:gridCol w:w="129"/>
        <w:gridCol w:w="129"/>
        <w:gridCol w:w="183"/>
        <w:gridCol w:w="573"/>
        <w:gridCol w:w="135"/>
      </w:tblGrid>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7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point in time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4,674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5,533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over time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2,471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2,156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p>
        </w:tc>
        <w:tc>
          <w:tcPr>
            <w:tcW w:w="5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7,145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p>
        </w:tc>
        <w:tc>
          <w:tcPr>
            <w:tcW w:w="5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7,689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unrecognized committed amount of the Ginkgo/Bioworks contract is $6,880.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Contract Costs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 contract costs related to the periods presented.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Contract Liabilities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are classified as deferred revenue in the unaudited condensed consolidated balance sheets. The activity in deferred revenue for the six months ended June 30, 2026 and for the year ended December 31, 2025, was as follows: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6789"/>
        <w:gridCol w:w="119"/>
        <w:gridCol w:w="251"/>
        <w:gridCol w:w="981"/>
        <w:gridCol w:w="124"/>
        <w:gridCol w:w="119"/>
        <w:gridCol w:w="342"/>
        <w:gridCol w:w="1335"/>
        <w:gridCol w:w="145"/>
      </w:tblGrid>
      <w:tr>
        <w:trPr/>
        <w:tc>
          <w:tcPr>
            <w:tcW w:w="6789" w:type="dxa"/>
            <w:tcBorders/>
            <w:vAlign w:val="center"/>
          </w:tcPr>
          <w:p>
            <w:pPr>
              <w:pStyle w:val="TableContents"/>
              <w:bidi w:val="0"/>
              <w:spacing w:before="0" w:after="283"/>
              <w:jc w:val="left"/>
              <w:rPr/>
            </w:pPr>
            <w:r>
              <w:rPr/>
              <w:t xml:space="preserve">  </w:t>
            </w:r>
          </w:p>
        </w:tc>
        <w:tc>
          <w:tcPr>
            <w:tcW w:w="11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1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4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of the period contract liability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1,126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1,143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from the contract liabilities included in the beginning balance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(551 </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(709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due cash received net of amounts recognized revenue during the period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692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End of period contract liability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708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1,126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$1,126 outstanding as of December 31, 2025, $120 and $551 have been recognized as revenue for the three and six months ended June 30, 2026, respectively.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Naples Wax Center offers prepaid wax packages that are either unlimited for one year or a set number of services. When the packages are purchased, the sales are recorded as deferred revenue, which was $708 and $837 as of June 30, 2026 and December 31, 2025, respectively. As services related to prepaid packages are used, revenue is recognized.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Contract Assets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assets are classified as other assets in the unaudited condensed consolidated balance sheets. The activity in other assets as of June 30, 2026 and December 31, 2025, was as follows: </w:t>
      </w:r>
    </w:p>
    <w:p>
      <w:pPr>
        <w:pStyle w:val="TextBody"/>
        <w:bidi w:val="0"/>
        <w:spacing w:before="0" w:after="0"/>
        <w:ind w:left="0" w:right="0" w:hanging="0"/>
        <w:jc w:val="left"/>
        <w:rPr>
          <w:caps w:val="false"/>
          <w:smallCaps w:val="false"/>
        </w:rPr>
      </w:pPr>
      <w:r>
        <w:rPr>
          <w:caps w:val="false"/>
          <w:smallCaps w:val="false"/>
        </w:rPr>
        <w:t xml:space="preserve">  </w:t>
      </w:r>
    </w:p>
    <w:tbl>
      <w:tblPr>
        <w:tblW w:w="4678" w:type="dxa"/>
        <w:jc w:val="left"/>
        <w:tblInd w:w="0" w:type="dxa"/>
        <w:tblLayout w:type="fixed"/>
        <w:tblCellMar>
          <w:top w:w="0" w:type="dxa"/>
          <w:left w:w="0" w:type="dxa"/>
          <w:bottom w:w="0" w:type="dxa"/>
          <w:right w:w="0" w:type="dxa"/>
        </w:tblCellMar>
      </w:tblPr>
      <w:tblGrid>
        <w:gridCol w:w="1265"/>
        <w:gridCol w:w="120"/>
        <w:gridCol w:w="434"/>
        <w:gridCol w:w="800"/>
        <w:gridCol w:w="120"/>
        <w:gridCol w:w="120"/>
        <w:gridCol w:w="546"/>
        <w:gridCol w:w="1138"/>
        <w:gridCol w:w="135"/>
      </w:tblGrid>
      <w:tr>
        <w:trPr/>
        <w:tc>
          <w:tcPr>
            <w:tcW w:w="126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assets represent the Company’s right to consideration for performance completed under customer contracts but not yet billable under the contractual terms. The increase over the six months ended June 30, 2026 was primarily driven by timing difference between revenue recognition and customer billing milestones. Contract assets are reclassified to accounts receivable when the Company’s right to payment becomes unconditional.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Segment Information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CODM evaluates performance and allocates resources for all of its reportable segments based on segment revenues and operating income.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presents information about reported segments for the three and six months ended June 30, 2026 and 2025: </w:t>
      </w:r>
    </w:p>
    <w:p>
      <w:pPr>
        <w:pStyle w:val="TextBody"/>
        <w:bidi w:val="0"/>
        <w:spacing w:before="0" w:after="0"/>
        <w:ind w:left="0" w:right="0" w:hanging="0"/>
        <w:jc w:val="both"/>
        <w:rPr>
          <w:caps w:val="false"/>
          <w:smallCaps w:val="false"/>
        </w:rPr>
      </w:pPr>
      <w:r>
        <w:rPr>
          <w:caps w:val="false"/>
          <w:smallCaps w:val="false"/>
        </w:rPr>
        <w:t xml:space="preserve">  </w:t>
      </w:r>
    </w:p>
    <w:tbl>
      <w:tblPr>
        <w:tblW w:w="7831" w:type="dxa"/>
        <w:jc w:val="left"/>
        <w:tblInd w:w="0" w:type="dxa"/>
        <w:tblLayout w:type="fixed"/>
        <w:tblCellMar>
          <w:top w:w="0" w:type="dxa"/>
          <w:left w:w="0" w:type="dxa"/>
          <w:bottom w:w="0" w:type="dxa"/>
          <w:right w:w="0" w:type="dxa"/>
        </w:tblCellMar>
      </w:tblPr>
      <w:tblGrid>
        <w:gridCol w:w="2015"/>
        <w:gridCol w:w="120"/>
        <w:gridCol w:w="179"/>
        <w:gridCol w:w="695"/>
        <w:gridCol w:w="125"/>
        <w:gridCol w:w="120"/>
        <w:gridCol w:w="188"/>
        <w:gridCol w:w="731"/>
        <w:gridCol w:w="120"/>
        <w:gridCol w:w="120"/>
        <w:gridCol w:w="307"/>
        <w:gridCol w:w="777"/>
        <w:gridCol w:w="120"/>
        <w:gridCol w:w="120"/>
        <w:gridCol w:w="178"/>
        <w:gridCol w:w="771"/>
        <w:gridCol w:w="125"/>
        <w:gridCol w:w="120"/>
        <w:gridCol w:w="170"/>
        <w:gridCol w:w="590"/>
        <w:gridCol w:w="140"/>
      </w:tblGrid>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5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2026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4,171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7,145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(3,977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(2,104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283"/>
        <w:jc w:val="left"/>
        <w:rPr/>
      </w:pPr>
      <w:r>
        <w:rPr/>
        <w:t xml:space="preserve">  </w:t>
      </w:r>
    </w:p>
    <w:tbl>
      <w:tblPr>
        <w:tblW w:w="7789" w:type="dxa"/>
        <w:jc w:val="left"/>
        <w:tblInd w:w="0" w:type="dxa"/>
        <w:tblLayout w:type="fixed"/>
        <w:tblCellMar>
          <w:top w:w="0" w:type="dxa"/>
          <w:left w:w="0" w:type="dxa"/>
          <w:bottom w:w="0" w:type="dxa"/>
          <w:right w:w="0" w:type="dxa"/>
        </w:tblCellMar>
      </w:tblPr>
      <w:tblGrid>
        <w:gridCol w:w="2015"/>
        <w:gridCol w:w="120"/>
        <w:gridCol w:w="179"/>
        <w:gridCol w:w="695"/>
        <w:gridCol w:w="120"/>
        <w:gridCol w:w="120"/>
        <w:gridCol w:w="188"/>
        <w:gridCol w:w="731"/>
        <w:gridCol w:w="120"/>
        <w:gridCol w:w="120"/>
        <w:gridCol w:w="302"/>
        <w:gridCol w:w="782"/>
        <w:gridCol w:w="125"/>
        <w:gridCol w:w="120"/>
        <w:gridCol w:w="170"/>
        <w:gridCol w:w="737"/>
        <w:gridCol w:w="125"/>
        <w:gridCol w:w="120"/>
        <w:gridCol w:w="170"/>
        <w:gridCol w:w="590"/>
        <w:gridCol w:w="140"/>
      </w:tblGrid>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1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2025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4,886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7,689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(3,720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(2,692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7834" w:type="dxa"/>
        <w:jc w:val="left"/>
        <w:tblInd w:w="0" w:type="dxa"/>
        <w:tblLayout w:type="fixed"/>
        <w:tblCellMar>
          <w:top w:w="0" w:type="dxa"/>
          <w:left w:w="0" w:type="dxa"/>
          <w:bottom w:w="0" w:type="dxa"/>
          <w:right w:w="0" w:type="dxa"/>
        </w:tblCellMar>
      </w:tblPr>
      <w:tblGrid>
        <w:gridCol w:w="2015"/>
        <w:gridCol w:w="120"/>
        <w:gridCol w:w="179"/>
        <w:gridCol w:w="695"/>
        <w:gridCol w:w="125"/>
        <w:gridCol w:w="120"/>
        <w:gridCol w:w="188"/>
        <w:gridCol w:w="731"/>
        <w:gridCol w:w="120"/>
        <w:gridCol w:w="120"/>
        <w:gridCol w:w="263"/>
        <w:gridCol w:w="821"/>
        <w:gridCol w:w="120"/>
        <w:gridCol w:w="120"/>
        <w:gridCol w:w="170"/>
        <w:gridCol w:w="737"/>
        <w:gridCol w:w="125"/>
        <w:gridCol w:w="120"/>
        <w:gridCol w:w="170"/>
        <w:gridCol w:w="635"/>
        <w:gridCol w:w="140"/>
      </w:tblGrid>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5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2026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8,370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4,387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13,784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(633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2,603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(9,915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(7,518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283"/>
        <w:jc w:val="left"/>
        <w:rPr/>
      </w:pPr>
      <w:r>
        <w:rPr/>
        <w:t xml:space="preserve">  </w:t>
      </w:r>
    </w:p>
    <w:tbl>
      <w:tblPr>
        <w:tblW w:w="7834" w:type="dxa"/>
        <w:jc w:val="left"/>
        <w:tblInd w:w="0" w:type="dxa"/>
        <w:tblLayout w:type="fixed"/>
        <w:tblCellMar>
          <w:top w:w="0" w:type="dxa"/>
          <w:left w:w="0" w:type="dxa"/>
          <w:bottom w:w="0" w:type="dxa"/>
          <w:right w:w="0" w:type="dxa"/>
        </w:tblCellMar>
      </w:tblPr>
      <w:tblGrid>
        <w:gridCol w:w="2015"/>
        <w:gridCol w:w="120"/>
        <w:gridCol w:w="179"/>
        <w:gridCol w:w="695"/>
        <w:gridCol w:w="120"/>
        <w:gridCol w:w="120"/>
        <w:gridCol w:w="188"/>
        <w:gridCol w:w="731"/>
        <w:gridCol w:w="120"/>
        <w:gridCol w:w="120"/>
        <w:gridCol w:w="263"/>
        <w:gridCol w:w="821"/>
        <w:gridCol w:w="125"/>
        <w:gridCol w:w="120"/>
        <w:gridCol w:w="170"/>
        <w:gridCol w:w="737"/>
        <w:gridCol w:w="125"/>
        <w:gridCol w:w="120"/>
        <w:gridCol w:w="170"/>
        <w:gridCol w:w="635"/>
        <w:gridCol w:w="140"/>
      </w:tblGrid>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5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2025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9,180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1,199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14,712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1,308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(663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(7,873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(5,850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reconciliation of total segment revenues to total unaudited condensed consolidated revenue and of total segment operating (loss) income to total consolidated (loss) income, for the three and six months ended June 30, 2026 and 2025, is as follows: </w:t>
      </w:r>
    </w:p>
    <w:p>
      <w:pPr>
        <w:pStyle w:val="TextBody"/>
        <w:bidi w:val="0"/>
        <w:spacing w:before="0" w:after="0"/>
        <w:ind w:left="0" w:right="0" w:hanging="0"/>
        <w:jc w:val="both"/>
        <w:rPr>
          <w:caps w:val="false"/>
          <w:smallCaps w:val="false"/>
        </w:rPr>
      </w:pPr>
      <w:r>
        <w:rPr>
          <w:caps w:val="false"/>
          <w:smallCaps w:val="false"/>
        </w:rPr>
        <w:t xml:space="preserve">  </w:t>
      </w:r>
    </w:p>
    <w:tbl>
      <w:tblPr>
        <w:tblW w:w="9246" w:type="dxa"/>
        <w:jc w:val="left"/>
        <w:tblInd w:w="0" w:type="dxa"/>
        <w:tblLayout w:type="fixed"/>
        <w:tblCellMar>
          <w:top w:w="0" w:type="dxa"/>
          <w:left w:w="0" w:type="dxa"/>
          <w:bottom w:w="0" w:type="dxa"/>
          <w:right w:w="0" w:type="dxa"/>
        </w:tblCellMar>
      </w:tblPr>
      <w:tblGrid>
        <w:gridCol w:w="3425"/>
        <w:gridCol w:w="120"/>
        <w:gridCol w:w="179"/>
        <w:gridCol w:w="695"/>
        <w:gridCol w:w="125"/>
        <w:gridCol w:w="120"/>
        <w:gridCol w:w="188"/>
        <w:gridCol w:w="731"/>
        <w:gridCol w:w="120"/>
        <w:gridCol w:w="120"/>
        <w:gridCol w:w="302"/>
        <w:gridCol w:w="782"/>
        <w:gridCol w:w="125"/>
        <w:gridCol w:w="120"/>
        <w:gridCol w:w="178"/>
        <w:gridCol w:w="771"/>
        <w:gridCol w:w="125"/>
        <w:gridCol w:w="120"/>
        <w:gridCol w:w="170"/>
        <w:gridCol w:w="590"/>
        <w:gridCol w:w="140"/>
      </w:tblGrid>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61"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2026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external customers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4,171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503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7,145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Significant Expenses (1):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782"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8" w:type="dxa"/>
            <w:tcBorders/>
            <w:shd w:fill="FFFFFF" w:val="clear"/>
            <w:vAlign w:val="center"/>
          </w:tcPr>
          <w:p>
            <w:pPr>
              <w:pStyle w:val="TableContents"/>
              <w:bidi w:val="0"/>
              <w:spacing w:before="0" w:after="283"/>
              <w:jc w:val="left"/>
              <w:rPr/>
            </w:pPr>
            <w:r>
              <w:rPr/>
              <w:t xml:space="preserve">  </w:t>
            </w:r>
          </w:p>
        </w:tc>
        <w:tc>
          <w:tcPr>
            <w:tcW w:w="771"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590"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Labor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2,102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3,037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Products &amp; Services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256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265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Occupancy Cost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606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Cost of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168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289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disposal of assets, net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Other Segment Expenses (2): </w:t>
            </w:r>
          </w:p>
        </w:tc>
        <w:tc>
          <w:tcPr>
            <w:tcW w:w="120" w:type="dxa"/>
            <w:tcBorders/>
            <w:shd w:fill="CCEEFF" w:val="clear"/>
            <w:vAlign w:val="center"/>
          </w:tcPr>
          <w:p>
            <w:pPr>
              <w:pStyle w:val="TableContents"/>
              <w:bidi w:val="0"/>
              <w:spacing w:before="0" w:after="283"/>
              <w:jc w:val="left"/>
              <w:rPr/>
            </w:pPr>
            <w:r>
              <w:rPr/>
              <w:t xml:space="preserve">  </w:t>
            </w:r>
          </w:p>
        </w:tc>
        <w:tc>
          <w:tcPr>
            <w:tcW w:w="179" w:type="dxa"/>
            <w:tcBorders/>
            <w:shd w:fill="CCEEFF" w:val="clear"/>
            <w:vAlign w:val="center"/>
          </w:tcPr>
          <w:p>
            <w:pPr>
              <w:pStyle w:val="TableContents"/>
              <w:bidi w:val="0"/>
              <w:spacing w:before="0" w:after="283"/>
              <w:jc w:val="left"/>
              <w:rPr/>
            </w:pPr>
            <w:r>
              <w:rPr/>
              <w:t xml:space="preserve">  </w:t>
            </w:r>
          </w:p>
        </w:tc>
        <w:tc>
          <w:tcPr>
            <w:tcW w:w="695"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731"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302" w:type="dxa"/>
            <w:tcBorders/>
            <w:shd w:fill="CCEEFF" w:val="clear"/>
            <w:vAlign w:val="center"/>
          </w:tcPr>
          <w:p>
            <w:pPr>
              <w:pStyle w:val="TableContents"/>
              <w:bidi w:val="0"/>
              <w:spacing w:before="0" w:after="283"/>
              <w:jc w:val="left"/>
              <w:rPr/>
            </w:pPr>
            <w:r>
              <w:rPr/>
              <w:t xml:space="preserve">  </w:t>
            </w:r>
          </w:p>
        </w:tc>
        <w:tc>
          <w:tcPr>
            <w:tcW w:w="782"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78" w:type="dxa"/>
            <w:tcBorders/>
            <w:shd w:fill="CCEEFF" w:val="clear"/>
            <w:vAlign w:val="center"/>
          </w:tcPr>
          <w:p>
            <w:pPr>
              <w:pStyle w:val="TableContents"/>
              <w:bidi w:val="0"/>
              <w:spacing w:before="0" w:after="283"/>
              <w:jc w:val="left"/>
              <w:rPr/>
            </w:pPr>
            <w:r>
              <w:rPr/>
              <w:t xml:space="preserve">  </w:t>
            </w:r>
          </w:p>
        </w:tc>
        <w:tc>
          <w:tcPr>
            <w:tcW w:w="771"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590" w:type="dxa"/>
            <w:tcBorders/>
            <w:shd w:fill="CCEEFF" w:val="clear"/>
            <w:vAlign w:val="center"/>
          </w:tcPr>
          <w:p>
            <w:pPr>
              <w:pStyle w:val="TableContents"/>
              <w:bidi w:val="0"/>
              <w:spacing w:before="0" w:after="283"/>
              <w:jc w:val="righ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operating expenses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3,962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4,650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operating income (loss)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379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(3,977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(2,104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283"/>
        <w:jc w:val="left"/>
        <w:rPr/>
      </w:pPr>
      <w:r>
        <w:rPr/>
        <w:t xml:space="preserve">  </w:t>
      </w:r>
    </w:p>
    <w:tbl>
      <w:tblPr>
        <w:tblW w:w="9199" w:type="dxa"/>
        <w:jc w:val="left"/>
        <w:tblInd w:w="0" w:type="dxa"/>
        <w:tblLayout w:type="fixed"/>
        <w:tblCellMar>
          <w:top w:w="0" w:type="dxa"/>
          <w:left w:w="0" w:type="dxa"/>
          <w:bottom w:w="0" w:type="dxa"/>
          <w:right w:w="0" w:type="dxa"/>
        </w:tblCellMar>
      </w:tblPr>
      <w:tblGrid>
        <w:gridCol w:w="3425"/>
        <w:gridCol w:w="120"/>
        <w:gridCol w:w="179"/>
        <w:gridCol w:w="695"/>
        <w:gridCol w:w="120"/>
        <w:gridCol w:w="120"/>
        <w:gridCol w:w="188"/>
        <w:gridCol w:w="731"/>
        <w:gridCol w:w="120"/>
        <w:gridCol w:w="120"/>
        <w:gridCol w:w="302"/>
        <w:gridCol w:w="782"/>
        <w:gridCol w:w="125"/>
        <w:gridCol w:w="120"/>
        <w:gridCol w:w="170"/>
        <w:gridCol w:w="737"/>
        <w:gridCol w:w="125"/>
        <w:gridCol w:w="120"/>
        <w:gridCol w:w="170"/>
        <w:gridCol w:w="590"/>
        <w:gridCol w:w="140"/>
      </w:tblGrid>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1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2025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external customers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4,886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2,156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7,689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Significant Expenses (1):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782"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73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590"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Labor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2,388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3,912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Products &amp; Services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363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Occupancy Cost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1,238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Cost of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401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187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Other Segment Expenses (2):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302" w:type="dxa"/>
            <w:tcBorders/>
            <w:shd w:fill="FFFFFF" w:val="clear"/>
            <w:vAlign w:val="center"/>
          </w:tcPr>
          <w:p>
            <w:pPr>
              <w:pStyle w:val="TableContents"/>
              <w:bidi w:val="0"/>
              <w:spacing w:before="0" w:after="283"/>
              <w:jc w:val="left"/>
              <w:rPr/>
            </w:pPr>
            <w:r>
              <w:rPr/>
              <w:t xml:space="preserve">  </w:t>
            </w:r>
          </w:p>
        </w:tc>
        <w:tc>
          <w:tcPr>
            <w:tcW w:w="782"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73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590"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operating expenses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4,280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(3,720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(2,692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tbl>
      <w:tblPr>
        <w:tblW w:w="9249" w:type="dxa"/>
        <w:jc w:val="left"/>
        <w:tblInd w:w="0" w:type="dxa"/>
        <w:tblLayout w:type="fixed"/>
        <w:tblCellMar>
          <w:top w:w="0" w:type="dxa"/>
          <w:left w:w="0" w:type="dxa"/>
          <w:bottom w:w="0" w:type="dxa"/>
          <w:right w:w="0" w:type="dxa"/>
        </w:tblCellMar>
      </w:tblPr>
      <w:tblGrid>
        <w:gridCol w:w="3425"/>
        <w:gridCol w:w="120"/>
        <w:gridCol w:w="179"/>
        <w:gridCol w:w="695"/>
        <w:gridCol w:w="125"/>
        <w:gridCol w:w="120"/>
        <w:gridCol w:w="188"/>
        <w:gridCol w:w="731"/>
        <w:gridCol w:w="120"/>
        <w:gridCol w:w="120"/>
        <w:gridCol w:w="263"/>
        <w:gridCol w:w="821"/>
        <w:gridCol w:w="125"/>
        <w:gridCol w:w="120"/>
        <w:gridCol w:w="170"/>
        <w:gridCol w:w="737"/>
        <w:gridCol w:w="125"/>
        <w:gridCol w:w="120"/>
        <w:gridCol w:w="170"/>
        <w:gridCol w:w="635"/>
        <w:gridCol w:w="140"/>
      </w:tblGrid>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2026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external customers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8,370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4,387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13,784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Significant Expenses (1):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821"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73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635"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Labor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6,011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Products &amp; Services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533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Occupancy Cost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1,198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1,367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Cost of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348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149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571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292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disposal of assets, net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Other Segment Expenses (2): </w:t>
            </w:r>
          </w:p>
        </w:tc>
        <w:tc>
          <w:tcPr>
            <w:tcW w:w="120" w:type="dxa"/>
            <w:tcBorders/>
            <w:shd w:fill="CCEEFF" w:val="clear"/>
            <w:vAlign w:val="center"/>
          </w:tcPr>
          <w:p>
            <w:pPr>
              <w:pStyle w:val="TableContents"/>
              <w:bidi w:val="0"/>
              <w:spacing w:before="0" w:after="283"/>
              <w:jc w:val="left"/>
              <w:rPr/>
            </w:pPr>
            <w:r>
              <w:rPr/>
              <w:t xml:space="preserve">  </w:t>
            </w:r>
          </w:p>
        </w:tc>
        <w:tc>
          <w:tcPr>
            <w:tcW w:w="179" w:type="dxa"/>
            <w:tcBorders/>
            <w:shd w:fill="CCEEFF" w:val="clear"/>
            <w:vAlign w:val="center"/>
          </w:tcPr>
          <w:p>
            <w:pPr>
              <w:pStyle w:val="TableContents"/>
              <w:bidi w:val="0"/>
              <w:spacing w:before="0" w:after="283"/>
              <w:jc w:val="left"/>
              <w:rPr/>
            </w:pPr>
            <w:r>
              <w:rPr/>
              <w:t xml:space="preserve">  </w:t>
            </w:r>
          </w:p>
        </w:tc>
        <w:tc>
          <w:tcPr>
            <w:tcW w:w="695"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731"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3" w:type="dxa"/>
            <w:tcBorders/>
            <w:shd w:fill="CCEEFF" w:val="clear"/>
            <w:vAlign w:val="center"/>
          </w:tcPr>
          <w:p>
            <w:pPr>
              <w:pStyle w:val="TableContents"/>
              <w:bidi w:val="0"/>
              <w:spacing w:before="0" w:after="283"/>
              <w:jc w:val="left"/>
              <w:rPr/>
            </w:pPr>
            <w:r>
              <w:rPr/>
              <w:t xml:space="preserve">  </w:t>
            </w:r>
          </w:p>
        </w:tc>
        <w:tc>
          <w:tcPr>
            <w:tcW w:w="821"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737"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635" w:type="dxa"/>
            <w:tcBorders/>
            <w:shd w:fill="CCEEFF" w:val="clear"/>
            <w:vAlign w:val="center"/>
          </w:tcPr>
          <w:p>
            <w:pPr>
              <w:pStyle w:val="TableContents"/>
              <w:bidi w:val="0"/>
              <w:spacing w:before="0" w:after="283"/>
              <w:jc w:val="righ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operating expenses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2,318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9,884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12,246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operating income (loss)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(633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2,603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(9,915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(7,518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283"/>
        <w:jc w:val="left"/>
        <w:rPr/>
      </w:pPr>
      <w:r>
        <w:rPr/>
        <w:t xml:space="preserve">  </w:t>
      </w:r>
    </w:p>
    <w:tbl>
      <w:tblPr>
        <w:tblW w:w="9249" w:type="dxa"/>
        <w:jc w:val="left"/>
        <w:tblInd w:w="0" w:type="dxa"/>
        <w:tblLayout w:type="fixed"/>
        <w:tblCellMar>
          <w:top w:w="0" w:type="dxa"/>
          <w:left w:w="0" w:type="dxa"/>
          <w:bottom w:w="0" w:type="dxa"/>
          <w:right w:w="0" w:type="dxa"/>
        </w:tblCellMar>
      </w:tblPr>
      <w:tblGrid>
        <w:gridCol w:w="3425"/>
        <w:gridCol w:w="120"/>
        <w:gridCol w:w="179"/>
        <w:gridCol w:w="695"/>
        <w:gridCol w:w="125"/>
        <w:gridCol w:w="120"/>
        <w:gridCol w:w="188"/>
        <w:gridCol w:w="731"/>
        <w:gridCol w:w="120"/>
        <w:gridCol w:w="120"/>
        <w:gridCol w:w="263"/>
        <w:gridCol w:w="821"/>
        <w:gridCol w:w="125"/>
        <w:gridCol w:w="120"/>
        <w:gridCol w:w="170"/>
        <w:gridCol w:w="737"/>
        <w:gridCol w:w="125"/>
        <w:gridCol w:w="120"/>
        <w:gridCol w:w="170"/>
        <w:gridCol w:w="635"/>
        <w:gridCol w:w="140"/>
      </w:tblGrid>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2025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 xml:space="preserve">and other </w:t>
            </w:r>
          </w:p>
        </w:tc>
        <w:tc>
          <w:tcPr>
            <w:tcW w:w="1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4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external customers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9,180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1,199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14,712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Significant Expenses (1):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821"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73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635"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Labor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4,743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666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7,879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 Products &amp; Services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620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Occupancy Cost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2,033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2,372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Cost of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747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205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353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Other Segment Expenses (2): </w:t>
            </w:r>
          </w:p>
        </w:tc>
        <w:tc>
          <w:tcPr>
            <w:tcW w:w="120" w:type="dxa"/>
            <w:tcBorders/>
            <w:shd w:fill="FFFFFF" w:val="clear"/>
            <w:vAlign w:val="center"/>
          </w:tcPr>
          <w:p>
            <w:pPr>
              <w:pStyle w:val="TableContents"/>
              <w:bidi w:val="0"/>
              <w:spacing w:before="0" w:after="283"/>
              <w:jc w:val="left"/>
              <w:rPr/>
            </w:pPr>
            <w:r>
              <w:rPr/>
              <w:t xml:space="preserve">  </w:t>
            </w:r>
          </w:p>
        </w:tc>
        <w:tc>
          <w:tcPr>
            <w:tcW w:w="179" w:type="dxa"/>
            <w:tcBorders/>
            <w:shd w:fill="FFFFFF" w:val="clear"/>
            <w:vAlign w:val="center"/>
          </w:tcPr>
          <w:p>
            <w:pPr>
              <w:pStyle w:val="TableContents"/>
              <w:bidi w:val="0"/>
              <w:spacing w:before="0" w:after="283"/>
              <w:jc w:val="left"/>
              <w:rPr/>
            </w:pPr>
            <w:r>
              <w:rPr/>
              <w:t xml:space="preserve">  </w:t>
            </w:r>
          </w:p>
        </w:tc>
        <w:tc>
          <w:tcPr>
            <w:tcW w:w="695"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3" w:type="dxa"/>
            <w:tcBorders/>
            <w:shd w:fill="FFFFFF" w:val="clear"/>
            <w:vAlign w:val="center"/>
          </w:tcPr>
          <w:p>
            <w:pPr>
              <w:pStyle w:val="TableContents"/>
              <w:bidi w:val="0"/>
              <w:spacing w:before="0" w:after="283"/>
              <w:jc w:val="left"/>
              <w:rPr/>
            </w:pPr>
            <w:r>
              <w:rPr/>
              <w:t xml:space="preserve">  </w:t>
            </w:r>
          </w:p>
        </w:tc>
        <w:tc>
          <w:tcPr>
            <w:tcW w:w="821"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73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635" w:type="dxa"/>
            <w:tcBorders/>
            <w:shd w:fill="FFFFFF" w:val="clear"/>
            <w:vAlign w:val="center"/>
          </w:tcPr>
          <w:p>
            <w:pPr>
              <w:pStyle w:val="TableContents"/>
              <w:bidi w:val="0"/>
              <w:spacing w:before="0" w:after="283"/>
              <w:jc w:val="righ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operating expenses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547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7,843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8,591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operating income (loss)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1,308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(663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(7,873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(5,850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jc w:val="left"/>
        <w:rPr>
          <w:bdr w:val="single" w:sz="8" w:space="1" w:color="000000"/>
        </w:rPr>
      </w:pPr>
      <w:r>
        <w:rPr>
          <w:bdr w:val="single" w:sz="8" w:space="1" w:color="000000"/>
        </w:rPr>
        <w:t xml:space="preserve">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 xml:space="preserve">(1) </w:t>
            </w:r>
          </w:p>
        </w:tc>
        <w:tc>
          <w:tcPr>
            <w:tcW w:w="9861" w:type="dxa"/>
            <w:tcBorders/>
            <w:vAlign w:val="center"/>
          </w:tcPr>
          <w:p>
            <w:pPr>
              <w:pStyle w:val="TableContents"/>
              <w:bidi w:val="0"/>
              <w:spacing w:before="0" w:after="283"/>
              <w:jc w:val="both"/>
              <w:rPr/>
            </w:pPr>
            <w:r>
              <w:rPr/>
              <w:t xml:space="preserve">The significant expense amounts align with the expenses that the CODM is regularly provided with to assess performance and allocate resources. </w:t>
            </w:r>
          </w:p>
        </w:tc>
      </w:tr>
    </w:tbl>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rFonts w:ascii="Times New Roman;Times;Serif" w:hAnsi="Times New Roman;Times;Serif"/>
                <w:sz w:val="20"/>
              </w:rPr>
              <w:t>(2)</w:t>
            </w:r>
            <w:r>
              <w:rPr/>
              <w:t xml:space="preserve"> </w:t>
            </w:r>
          </w:p>
        </w:tc>
        <w:tc>
          <w:tcPr>
            <w:tcW w:w="9943" w:type="dxa"/>
            <w:tcBorders/>
            <w:vAlign w:val="center"/>
          </w:tcPr>
          <w:p>
            <w:pPr>
              <w:pStyle w:val="TableContents"/>
              <w:bidi w:val="0"/>
              <w:spacing w:before="0" w:after="283"/>
              <w:jc w:val="both"/>
              <w:rPr/>
            </w:pPr>
            <w:r>
              <w:rPr>
                <w:rFonts w:ascii="Times New Roman;Times;Serif" w:hAnsi="Times New Roman;Times;Serif"/>
                <w:sz w:val="20"/>
              </w:rPr>
              <w:t>For all segments, SGA consists of the following:</w:t>
            </w:r>
            <w:r>
              <w:rPr/>
              <w:t xml:space="preserve">Salaries &amp; Benefits, Rent &amp; Utilities, Office Supplies &amp; Shipping, Travel &amp; Entertainment, IT &amp; Telecom, Repairs &amp; Maintenance, Accounting, Legal, Franchise/Property Tax, Management/DBE Fees, Advertising &amp; Marketing, Insurance.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Significant Items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8680" w:type="dxa"/>
        <w:jc w:val="left"/>
        <w:tblInd w:w="0" w:type="dxa"/>
        <w:tblLayout w:type="fixed"/>
        <w:tblCellMar>
          <w:top w:w="0" w:type="dxa"/>
          <w:left w:w="0" w:type="dxa"/>
          <w:bottom w:w="0" w:type="dxa"/>
          <w:right w:w="0" w:type="dxa"/>
        </w:tblCellMar>
      </w:tblPr>
      <w:tblGrid>
        <w:gridCol w:w="2255"/>
        <w:gridCol w:w="120"/>
        <w:gridCol w:w="283"/>
        <w:gridCol w:w="591"/>
        <w:gridCol w:w="120"/>
        <w:gridCol w:w="120"/>
        <w:gridCol w:w="298"/>
        <w:gridCol w:w="621"/>
        <w:gridCol w:w="120"/>
        <w:gridCol w:w="120"/>
        <w:gridCol w:w="351"/>
        <w:gridCol w:w="733"/>
        <w:gridCol w:w="120"/>
        <w:gridCol w:w="120"/>
        <w:gridCol w:w="634"/>
        <w:gridCol w:w="1170"/>
        <w:gridCol w:w="120"/>
        <w:gridCol w:w="120"/>
        <w:gridCol w:w="185"/>
        <w:gridCol w:w="344"/>
        <w:gridCol w:w="135"/>
      </w:tblGrid>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7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2026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9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283"/>
        <w:jc w:val="left"/>
        <w:rPr/>
      </w:pPr>
      <w:r>
        <w:rPr/>
        <w:t xml:space="preserve">  </w:t>
      </w:r>
    </w:p>
    <w:tbl>
      <w:tblPr>
        <w:tblW w:w="8701" w:type="dxa"/>
        <w:jc w:val="left"/>
        <w:tblInd w:w="0" w:type="dxa"/>
        <w:tblLayout w:type="fixed"/>
        <w:tblCellMar>
          <w:top w:w="0" w:type="dxa"/>
          <w:left w:w="0" w:type="dxa"/>
          <w:bottom w:w="0" w:type="dxa"/>
          <w:right w:w="0" w:type="dxa"/>
        </w:tblCellMar>
      </w:tblPr>
      <w:tblGrid>
        <w:gridCol w:w="2255"/>
        <w:gridCol w:w="120"/>
        <w:gridCol w:w="307"/>
        <w:gridCol w:w="567"/>
        <w:gridCol w:w="120"/>
        <w:gridCol w:w="120"/>
        <w:gridCol w:w="298"/>
        <w:gridCol w:w="621"/>
        <w:gridCol w:w="120"/>
        <w:gridCol w:w="120"/>
        <w:gridCol w:w="351"/>
        <w:gridCol w:w="733"/>
        <w:gridCol w:w="120"/>
        <w:gridCol w:w="120"/>
        <w:gridCol w:w="488"/>
        <w:gridCol w:w="1316"/>
        <w:gridCol w:w="120"/>
        <w:gridCol w:w="120"/>
        <w:gridCol w:w="170"/>
        <w:gridCol w:w="380"/>
        <w:gridCol w:w="135"/>
      </w:tblGrid>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91"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June 30,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tbl>
      <w:tblPr>
        <w:tblW w:w="8701" w:type="dxa"/>
        <w:jc w:val="left"/>
        <w:tblInd w:w="0" w:type="dxa"/>
        <w:tblLayout w:type="fixed"/>
        <w:tblCellMar>
          <w:top w:w="0" w:type="dxa"/>
          <w:left w:w="0" w:type="dxa"/>
          <w:bottom w:w="0" w:type="dxa"/>
          <w:right w:w="0" w:type="dxa"/>
        </w:tblCellMar>
      </w:tblPr>
      <w:tblGrid>
        <w:gridCol w:w="2255"/>
        <w:gridCol w:w="120"/>
        <w:gridCol w:w="533"/>
        <w:gridCol w:w="341"/>
        <w:gridCol w:w="120"/>
        <w:gridCol w:w="120"/>
        <w:gridCol w:w="560"/>
        <w:gridCol w:w="359"/>
        <w:gridCol w:w="120"/>
        <w:gridCol w:w="120"/>
        <w:gridCol w:w="351"/>
        <w:gridCol w:w="733"/>
        <w:gridCol w:w="120"/>
        <w:gridCol w:w="120"/>
        <w:gridCol w:w="488"/>
        <w:gridCol w:w="1316"/>
        <w:gridCol w:w="120"/>
        <w:gridCol w:w="120"/>
        <w:gridCol w:w="170"/>
        <w:gridCol w:w="380"/>
        <w:gridCol w:w="135"/>
      </w:tblGrid>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91"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2026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984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283"/>
        <w:jc w:val="left"/>
        <w:rPr/>
      </w:pPr>
      <w:r>
        <w:rPr/>
        <w:t xml:space="preserve">  </w:t>
      </w:r>
    </w:p>
    <w:tbl>
      <w:tblPr>
        <w:tblW w:w="8686" w:type="dxa"/>
        <w:jc w:val="left"/>
        <w:tblInd w:w="0" w:type="dxa"/>
        <w:tblLayout w:type="fixed"/>
        <w:tblCellMar>
          <w:top w:w="0" w:type="dxa"/>
          <w:left w:w="0" w:type="dxa"/>
          <w:bottom w:w="0" w:type="dxa"/>
          <w:right w:w="0" w:type="dxa"/>
        </w:tblCellMar>
      </w:tblPr>
      <w:tblGrid>
        <w:gridCol w:w="2240"/>
        <w:gridCol w:w="120"/>
        <w:gridCol w:w="307"/>
        <w:gridCol w:w="567"/>
        <w:gridCol w:w="120"/>
        <w:gridCol w:w="120"/>
        <w:gridCol w:w="459"/>
        <w:gridCol w:w="460"/>
        <w:gridCol w:w="120"/>
        <w:gridCol w:w="120"/>
        <w:gridCol w:w="351"/>
        <w:gridCol w:w="733"/>
        <w:gridCol w:w="120"/>
        <w:gridCol w:w="120"/>
        <w:gridCol w:w="488"/>
        <w:gridCol w:w="1316"/>
        <w:gridCol w:w="120"/>
        <w:gridCol w:w="120"/>
        <w:gridCol w:w="170"/>
        <w:gridCol w:w="380"/>
        <w:gridCol w:w="135"/>
      </w:tblGrid>
      <w:tr>
        <w:trPr/>
        <w:tc>
          <w:tcPr>
            <w:tcW w:w="22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191"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June 30,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based compensation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3"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604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682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8476" w:type="dxa"/>
        <w:jc w:val="left"/>
        <w:tblInd w:w="0" w:type="dxa"/>
        <w:tblLayout w:type="fixed"/>
        <w:tblCellMar>
          <w:top w:w="0" w:type="dxa"/>
          <w:left w:w="0" w:type="dxa"/>
          <w:bottom w:w="0" w:type="dxa"/>
          <w:right w:w="0" w:type="dxa"/>
        </w:tblCellMar>
      </w:tblPr>
      <w:tblGrid>
        <w:gridCol w:w="1775"/>
        <w:gridCol w:w="120"/>
        <w:gridCol w:w="173"/>
        <w:gridCol w:w="701"/>
        <w:gridCol w:w="120"/>
        <w:gridCol w:w="120"/>
        <w:gridCol w:w="188"/>
        <w:gridCol w:w="731"/>
        <w:gridCol w:w="120"/>
        <w:gridCol w:w="120"/>
        <w:gridCol w:w="263"/>
        <w:gridCol w:w="821"/>
        <w:gridCol w:w="120"/>
        <w:gridCol w:w="120"/>
        <w:gridCol w:w="368"/>
        <w:gridCol w:w="1436"/>
        <w:gridCol w:w="120"/>
        <w:gridCol w:w="120"/>
        <w:gridCol w:w="170"/>
        <w:gridCol w:w="635"/>
        <w:gridCol w:w="135"/>
      </w:tblGrid>
      <w:tr>
        <w:trPr/>
        <w:tc>
          <w:tcPr>
            <w:tcW w:w="17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44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expenditures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13,906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1,262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2,087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20,526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283"/>
        <w:jc w:val="left"/>
        <w:rPr/>
      </w:pPr>
      <w:r>
        <w:rPr/>
        <w:t xml:space="preserve">  </w:t>
      </w:r>
    </w:p>
    <w:tbl>
      <w:tblPr>
        <w:tblW w:w="8476" w:type="dxa"/>
        <w:jc w:val="left"/>
        <w:tblInd w:w="0" w:type="dxa"/>
        <w:tblLayout w:type="fixed"/>
        <w:tblCellMar>
          <w:top w:w="0" w:type="dxa"/>
          <w:left w:w="0" w:type="dxa"/>
          <w:bottom w:w="0" w:type="dxa"/>
          <w:right w:w="0" w:type="dxa"/>
        </w:tblCellMar>
      </w:tblPr>
      <w:tblGrid>
        <w:gridCol w:w="1775"/>
        <w:gridCol w:w="120"/>
        <w:gridCol w:w="179"/>
        <w:gridCol w:w="695"/>
        <w:gridCol w:w="120"/>
        <w:gridCol w:w="120"/>
        <w:gridCol w:w="188"/>
        <w:gridCol w:w="731"/>
        <w:gridCol w:w="120"/>
        <w:gridCol w:w="120"/>
        <w:gridCol w:w="263"/>
        <w:gridCol w:w="821"/>
        <w:gridCol w:w="120"/>
        <w:gridCol w:w="120"/>
        <w:gridCol w:w="368"/>
        <w:gridCol w:w="1436"/>
        <w:gridCol w:w="120"/>
        <w:gridCol w:w="120"/>
        <w:gridCol w:w="170"/>
        <w:gridCol w:w="635"/>
        <w:gridCol w:w="135"/>
      </w:tblGrid>
      <w:tr>
        <w:trPr/>
        <w:tc>
          <w:tcPr>
            <w:tcW w:w="17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44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XpresSpa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XpresTest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Naples Wax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and other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expenditures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2,859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6,884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2,029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11,217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country outside of the United States that were material to the Company’s unaudited condensed consolidated financial statements. Long-lived assets include property and equipment and right of use lease assets. </w:t>
      </w:r>
    </w:p>
    <w:p>
      <w:pPr>
        <w:pStyle w:val="TextBody"/>
        <w:bidi w:val="0"/>
        <w:spacing w:before="0" w:after="0"/>
        <w:ind w:left="0" w:right="0" w:hanging="0"/>
        <w:jc w:val="both"/>
        <w:rPr>
          <w:caps w:val="false"/>
          <w:smallCaps w:val="false"/>
        </w:rPr>
      </w:pPr>
      <w:r>
        <w:rPr>
          <w:caps w:val="false"/>
          <w:smallCaps w:val="false"/>
        </w:rPr>
        <w:t xml:space="preserve">  </w:t>
      </w:r>
    </w:p>
    <w:tbl>
      <w:tblPr>
        <w:tblW w:w="3700" w:type="dxa"/>
        <w:jc w:val="left"/>
        <w:tblInd w:w="0" w:type="dxa"/>
        <w:tblLayout w:type="fixed"/>
        <w:tblCellMar>
          <w:top w:w="0" w:type="dxa"/>
          <w:left w:w="0" w:type="dxa"/>
          <w:bottom w:w="0" w:type="dxa"/>
          <w:right w:w="0" w:type="dxa"/>
        </w:tblCellMar>
      </w:tblPr>
      <w:tblGrid>
        <w:gridCol w:w="1595"/>
        <w:gridCol w:w="120"/>
        <w:gridCol w:w="170"/>
        <w:gridCol w:w="635"/>
        <w:gridCol w:w="120"/>
        <w:gridCol w:w="120"/>
        <w:gridCol w:w="170"/>
        <w:gridCol w:w="635"/>
        <w:gridCol w:w="135"/>
      </w:tblGrid>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pPr>
            <w:r>
              <w:rPr/>
              <w:t xml:space="preserve">  </w:t>
            </w:r>
          </w:p>
        </w:tc>
        <w:tc>
          <w:tcPr>
            <w:tcW w:w="805" w:type="dxa"/>
            <w:gridSpan w:val="2"/>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805" w:type="dxa"/>
            <w:gridSpan w:val="2"/>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States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11,294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11,902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countries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2,490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2,810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13,784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14,712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3620" w:type="dxa"/>
        <w:jc w:val="left"/>
        <w:tblInd w:w="0" w:type="dxa"/>
        <w:tblLayout w:type="fixed"/>
        <w:tblCellMar>
          <w:top w:w="0" w:type="dxa"/>
          <w:left w:w="0" w:type="dxa"/>
          <w:bottom w:w="0" w:type="dxa"/>
          <w:right w:w="0" w:type="dxa"/>
        </w:tblCellMar>
      </w:tblPr>
      <w:tblGrid>
        <w:gridCol w:w="1595"/>
        <w:gridCol w:w="120"/>
        <w:gridCol w:w="183"/>
        <w:gridCol w:w="573"/>
        <w:gridCol w:w="129"/>
        <w:gridCol w:w="129"/>
        <w:gridCol w:w="183"/>
        <w:gridCol w:w="573"/>
        <w:gridCol w:w="135"/>
      </w:tblGrid>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7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12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Revenue </w:t>
            </w:r>
          </w:p>
        </w:tc>
        <w:tc>
          <w:tcPr>
            <w:tcW w:w="120" w:type="dxa"/>
            <w:tcBorders/>
            <w:shd w:fill="CCEEFF" w:val="clear"/>
            <w:vAlign w:val="center"/>
          </w:tcPr>
          <w:p>
            <w:pPr>
              <w:pStyle w:val="TableContents"/>
              <w:bidi w:val="0"/>
              <w:spacing w:before="0" w:after="283"/>
              <w:jc w:val="left"/>
              <w:rPr/>
            </w:pPr>
            <w:r>
              <w:rPr/>
              <w:t xml:space="preserve">  </w:t>
            </w:r>
          </w:p>
        </w:tc>
        <w:tc>
          <w:tcPr>
            <w:tcW w:w="756" w:type="dxa"/>
            <w:gridSpan w:val="2"/>
            <w:tcBorders/>
            <w:shd w:fill="CCEEFF" w:val="clear"/>
            <w:vAlign w:val="center"/>
          </w:tcPr>
          <w:p>
            <w:pPr>
              <w:pStyle w:val="TableContents"/>
              <w:bidi w:val="0"/>
              <w:spacing w:before="0" w:after="283"/>
              <w:jc w:val="right"/>
              <w:rPr/>
            </w:pPr>
            <w:r>
              <w:rPr/>
              <w:t xml:space="preserve">  </w:t>
            </w:r>
          </w:p>
        </w:tc>
        <w:tc>
          <w:tcPr>
            <w:tcW w:w="129" w:type="dxa"/>
            <w:tcBorders/>
            <w:shd w:fill="CCEEFF" w:val="clear"/>
            <w:vAlign w:val="center"/>
          </w:tcPr>
          <w:p>
            <w:pPr>
              <w:pStyle w:val="TableContents"/>
              <w:bidi w:val="0"/>
              <w:spacing w:before="0" w:after="283"/>
              <w:jc w:val="left"/>
              <w:rPr/>
            </w:pPr>
            <w:r>
              <w:rPr/>
              <w:t xml:space="preserve">  </w:t>
            </w:r>
          </w:p>
        </w:tc>
        <w:tc>
          <w:tcPr>
            <w:tcW w:w="129" w:type="dxa"/>
            <w:tcBorders/>
            <w:shd w:fill="CCEEFF" w:val="clear"/>
            <w:vAlign w:val="center"/>
          </w:tcPr>
          <w:p>
            <w:pPr>
              <w:pStyle w:val="TableContents"/>
              <w:bidi w:val="0"/>
              <w:spacing w:before="0" w:after="283"/>
              <w:jc w:val="left"/>
              <w:rPr/>
            </w:pPr>
            <w:r>
              <w:rPr/>
              <w:t xml:space="preserve">  </w:t>
            </w:r>
          </w:p>
        </w:tc>
        <w:tc>
          <w:tcPr>
            <w:tcW w:w="756" w:type="dxa"/>
            <w:gridSpan w:val="2"/>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States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5,937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6,197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countries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1,208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1,492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revenue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7,145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7,689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5383" w:type="dxa"/>
        <w:jc w:val="left"/>
        <w:tblInd w:w="0" w:type="dxa"/>
        <w:tblLayout w:type="fixed"/>
        <w:tblCellMar>
          <w:top w:w="0" w:type="dxa"/>
          <w:left w:w="0" w:type="dxa"/>
          <w:bottom w:w="0" w:type="dxa"/>
          <w:right w:w="0" w:type="dxa"/>
        </w:tblCellMar>
      </w:tblPr>
      <w:tblGrid>
        <w:gridCol w:w="1970"/>
        <w:gridCol w:w="120"/>
        <w:gridCol w:w="299"/>
        <w:gridCol w:w="935"/>
        <w:gridCol w:w="120"/>
        <w:gridCol w:w="120"/>
        <w:gridCol w:w="345"/>
        <w:gridCol w:w="1339"/>
        <w:gridCol w:w="135"/>
      </w:tblGrid>
      <w:tr>
        <w:trPr/>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Long-lived assets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States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2,271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2,496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countries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208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long-lived assets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2,442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2,704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Net Loss per Share of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and June 30, 2025, basic earnings per hare has been calculated by dividing net earnings attributable to Common Stock by the weighted average number of shares of Common Stock outstanding for the same period. Share of Common Stock are weighted for the portion of the period in which the shares were outstanding. Dilutive earnings per share has been calculated in a manner consistent with that of basic earnings per share while considering all potentially dilutive shares of Common Stock outstanding during the period.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 forth the computation of basic and diluted earnings per share for the three and six months ended June 30, 2026 and June 30, 2025. </w:t>
      </w:r>
    </w:p>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110"/>
        <w:gridCol w:w="76"/>
        <w:gridCol w:w="137"/>
        <w:gridCol w:w="1067"/>
        <w:gridCol w:w="92"/>
        <w:gridCol w:w="76"/>
        <w:gridCol w:w="137"/>
        <w:gridCol w:w="857"/>
        <w:gridCol w:w="92"/>
        <w:gridCol w:w="76"/>
        <w:gridCol w:w="137"/>
        <w:gridCol w:w="1067"/>
        <w:gridCol w:w="92"/>
        <w:gridCol w:w="76"/>
        <w:gridCol w:w="137"/>
        <w:gridCol w:w="857"/>
        <w:gridCol w:w="119"/>
      </w:tblGrid>
      <w:tr>
        <w:trPr/>
        <w:tc>
          <w:tcPr>
            <w:tcW w:w="5110" w:type="dxa"/>
            <w:tcBorders/>
            <w:vAlign w:val="center"/>
          </w:tcPr>
          <w:p>
            <w:pPr>
              <w:pStyle w:val="TableContents"/>
              <w:bidi w:val="0"/>
              <w:spacing w:before="0" w:after="283"/>
              <w:jc w:val="left"/>
              <w:rPr/>
            </w:pPr>
            <w:r>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236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Three months ended </w:t>
            </w:r>
          </w:p>
        </w:tc>
        <w:tc>
          <w:tcPr>
            <w:tcW w:w="92"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236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Six months ended </w:t>
            </w:r>
          </w:p>
        </w:tc>
        <w:tc>
          <w:tcPr>
            <w:tcW w:w="119"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vAlign w:val="center"/>
          </w:tcPr>
          <w:p>
            <w:pPr>
              <w:pStyle w:val="TableContents"/>
              <w:bidi w:val="0"/>
              <w:spacing w:before="0" w:after="283"/>
              <w:jc w:val="left"/>
              <w:rPr/>
            </w:pPr>
            <w:r>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23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tc>
        <w:tc>
          <w:tcPr>
            <w:tcW w:w="92"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23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June 30, </w:t>
            </w:r>
          </w:p>
        </w:tc>
        <w:tc>
          <w:tcPr>
            <w:tcW w:w="119"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vAlign w:val="center"/>
          </w:tcPr>
          <w:p>
            <w:pPr>
              <w:pStyle w:val="TableContents"/>
              <w:bidi w:val="0"/>
              <w:spacing w:before="0" w:after="283"/>
              <w:jc w:val="left"/>
              <w:rPr/>
            </w:pPr>
            <w:r>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2026 </w:t>
            </w:r>
          </w:p>
        </w:tc>
        <w:tc>
          <w:tcPr>
            <w:tcW w:w="92"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2025 </w:t>
            </w:r>
          </w:p>
        </w:tc>
        <w:tc>
          <w:tcPr>
            <w:tcW w:w="92"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2026 </w:t>
            </w:r>
          </w:p>
        </w:tc>
        <w:tc>
          <w:tcPr>
            <w:tcW w:w="92"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2025 </w:t>
            </w:r>
          </w:p>
        </w:tc>
        <w:tc>
          <w:tcPr>
            <w:tcW w:w="119" w:type="dxa"/>
            <w:tcBorders/>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Basic numerator: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Net loss attributable to XWELL, Inc.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(2,240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(2,269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(13,442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(6,988 </w:t>
            </w:r>
          </w:p>
        </w:tc>
        <w:tc>
          <w:tcPr>
            <w:tcW w:w="1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Less: preferred stock dividends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(189 </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(82 </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(257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Less: preferred stock accretion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(583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(1,082 </w:t>
            </w:r>
          </w:p>
        </w:tc>
        <w:tc>
          <w:tcPr>
            <w:tcW w:w="1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Plus: deemed contribution on Repurchase of Series G Preferred Stock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106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11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Net loss attributable to common shareholders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(2,240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(3,041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(13,418 </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(8,327 </w:t>
            </w:r>
          </w:p>
        </w:tc>
        <w:tc>
          <w:tcPr>
            <w:tcW w:w="1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Basic denominator: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Basic weighted average shares outstanding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8,487,425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5,417,271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7,944,801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5,340,442 </w:t>
            </w:r>
          </w:p>
        </w:tc>
        <w:tc>
          <w:tcPr>
            <w:tcW w:w="11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Basic loss per share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(0.26 </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(0.56 </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(1.69 </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(1.56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 </w:t>
            </w:r>
          </w:p>
        </w:tc>
      </w:tr>
      <w:tr>
        <w:trPr/>
        <w:tc>
          <w:tcPr>
            <w:tcW w:w="5110" w:type="dxa"/>
            <w:tcBorders/>
            <w:shd w:fill="FFFFFF" w:val="clear"/>
            <w:vAlign w:val="center"/>
          </w:tcPr>
          <w:p>
            <w:pPr>
              <w:pStyle w:val="TableContents"/>
              <w:bidi w:val="0"/>
              <w:spacing w:before="0" w:after="283"/>
              <w:jc w:val="left"/>
              <w:rPr/>
            </w:pPr>
            <w:r>
              <w:rPr/>
              <w:t xml:space="preserve">  </w:t>
            </w:r>
          </w:p>
        </w:tc>
        <w:tc>
          <w:tcPr>
            <w:tcW w:w="7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10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85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1067" w:type="dxa"/>
            <w:tcBorders/>
            <w:shd w:fill="FFFFFF" w:val="clear"/>
            <w:vAlign w:val="center"/>
          </w:tcPr>
          <w:p>
            <w:pPr>
              <w:pStyle w:val="TableContents"/>
              <w:bidi w:val="0"/>
              <w:spacing w:before="0" w:after="283"/>
              <w:jc w:val="righ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7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857" w:type="dxa"/>
            <w:tcBorders/>
            <w:shd w:fill="FFFFFF" w:val="clear"/>
            <w:vAlign w:val="center"/>
          </w:tcPr>
          <w:p>
            <w:pPr>
              <w:pStyle w:val="TableContents"/>
              <w:bidi w:val="0"/>
              <w:spacing w:before="0" w:after="283"/>
              <w:jc w:val="right"/>
              <w:rPr/>
            </w:pPr>
            <w:r>
              <w:rPr/>
              <w:t xml:space="preserve">  </w:t>
            </w:r>
          </w:p>
        </w:tc>
        <w:tc>
          <w:tcPr>
            <w:tcW w:w="119" w:type="dxa"/>
            <w:tcBorders/>
            <w:shd w:fill="FFFFFF" w:val="clear"/>
            <w:vAlign w:val="center"/>
          </w:tcPr>
          <w:p>
            <w:pPr>
              <w:pStyle w:val="TableContents"/>
              <w:bidi w:val="0"/>
              <w:spacing w:before="0" w:after="283"/>
              <w:jc w:val="left"/>
              <w:rPr/>
            </w:pPr>
            <w:r>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Net loss per share data presented above excludes from the calculation of diluted net loss, the following potentially dilutive securities, having an anti-dilutive impact, in case of net loss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7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Both vested and unvested options to purchase an equal number of shares of Common Stock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899,123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944,554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899,123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944,554 </w:t>
            </w:r>
          </w:p>
        </w:tc>
        <w:tc>
          <w:tcPr>
            <w:tcW w:w="11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Unvested RSUs to issue an equal number of shares of Common Stock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20,000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30,000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20,000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30,000 </w:t>
            </w:r>
          </w:p>
        </w:tc>
        <w:tc>
          <w:tcPr>
            <w:tcW w:w="11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Warrants to purchase shares of Common Stock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71,999,234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71,999,234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11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Series A and Series B warrants to purchase shares of Common Stock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5,347,594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CCEE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5,347,594 </w:t>
            </w:r>
          </w:p>
        </w:tc>
        <w:tc>
          <w:tcPr>
            <w:tcW w:w="11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Series G Convertible Preferred Stock on an as converted basis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2,406,417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shd w:fill="FFFFFF" w:val="cle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2,406,417 </w:t>
            </w:r>
          </w:p>
        </w:tc>
        <w:tc>
          <w:tcPr>
            <w:tcW w:w="11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Series H Convertible Preferred Stock on an as converted basis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66,665,957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66,665,957 </w:t>
            </w:r>
          </w:p>
        </w:tc>
        <w:tc>
          <w:tcPr>
            <w:tcW w:w="92"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xml:space="preserve">— </w:t>
            </w:r>
          </w:p>
        </w:tc>
        <w:tc>
          <w:tcPr>
            <w:tcW w:w="11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r>
        <w:trPr/>
        <w:tc>
          <w:tcPr>
            <w:tcW w:w="5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Total number of potentially dilutive securities excluded from the calculation of loss per share attributable to common shareholders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139,584,314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8,728,565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139,584,314 </w:t>
            </w:r>
          </w:p>
        </w:tc>
        <w:tc>
          <w:tcPr>
            <w:tcW w:w="92"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76"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8,728,565 </w:t>
            </w:r>
          </w:p>
        </w:tc>
        <w:tc>
          <w:tcPr>
            <w:tcW w:w="11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14. Related Party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On January 1, 2026, the Consulting Agreement was further extended for a period of three months from the effective date of the extension in exchange for an additional amount of $500. For the three and six months ended June 30, 2026, $20 and $582, respectively, of this contract was recognized in general and administrative expenses on the unaudited condensed consolidated statement of operations. There have been no further amendments or extensions to the Consulting Agreement, and there was no remaining prepaid balance related to this arrangement as of June 30,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15. Subsequent Events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Asset Sale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2026, the Company entered into a Securities Purchase Agreement by and among the Company, XpresSpa, XpresTest (together with XpresSpa, the “Target Companies”), and Express Wellness Group, LLC, a Delaware limited liability company (the “Buyer”) to sell its ownership interests in the Target Companies, which comprise substantially all of the Company's airport-based operations, for aggregate cash consideration of approximately $13,000,000 (the “Purchase Price”) subject to customary working capital and other purchase price adjustments (the “Sale”). At the closing of the Sale, a portion of the Purchase Price, equal to $2,650,000 in the aggregate, will be deposited into escrow accounts to secure certain of the Company’s post-closing obligations with respect to any purchase price adjustments or indemnities.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consummation of the Sale requires the affirmative vote of holders of a majority of the outstanding shares of the Company’s common stock (the “Stockholder Approval”). The Company was required to file a preliminary proxy statement (the “Proxy Statement”) with the SEC within 20 days following the date of the Purchase Agreement.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Company and the Buyer may, under certain circumstances, be required to pay a termination fee equal to the greater of (A) $1,300,000 and (B) $650,000 plus documented out-of-pocket expenses (capped at $2,000,000 for expenses).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will represent a strategic shift in the Company's operations, as the Company intends to divest substantially all of its airport-based business activities while retaining certain non-airport operations. The transaction is subject to customary closing conditions, including approval by the holders of a majority of the Company's outstanding common stock, and is expected to close during the fourth quarter of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Awards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2026, the Company granted an aggregate of 800,000 fully vested restricted shares of common stock to certain members of its board of directors. The restricted shares vested in full on the date of grant and were issued for no cash consideration.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of Series H Convertible Preferred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2026, American Ventures LLC, Series XXIV XWELL and its affiliated reporting persons converted 467 shares of the Company’s Series H Convertible Preferred Stock into 993,617 shares of the Company’s common stock at a conversion price of $0.47 per share. Following the conversion, the reporting persons beneficially owned approximately 9.975% of the Company’s outstanding common stock, based on 9,960,883 shares reported as issued and outstanding. No additional consideration was paid in connection with the conversion.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8" w:space="1" w:color="000000"/>
        </w:rPr>
      </w:pPr>
      <w:r>
        <w:rPr>
          <w:sz w:val="20"/>
          <w:bdr w:val="single" w:sz="8" w:space="1" w:color="000000"/>
        </w:rPr>
        <w:t>D-24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note2_001"/>
      <w:bookmarkEnd w:id="8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XWELL, Inc. (the “Company”) as of December 31, 2025, the related consolidated statements of operations and comprehensive loss, changes in temporary equity and stockholders’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8"/>
        <w:gridCol w:w="9007"/>
      </w:tblGrid>
      <w:tr>
        <w:trPr/>
        <w:tc>
          <w:tcPr>
            <w:tcW w:w="1198"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Critical Audit Matter Description</w:t>
            </w:r>
          </w:p>
        </w:tc>
        <w:tc>
          <w:tcPr>
            <w:tcW w:w="90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2, 9, 10 and 11 to the financial statements, the Company records certain financial instruments at fair value on a recurring basis, including derivative liabilities associated with the Series G convertible preferred stock and convertible debt, as well as convertible debt insutruments on a non-recurring basis, which are classified as level 3 as they contain one or more inputs to valuation which are unobservable and significant to their fair value measurement.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the fair value of certain level 3 financial instruments is a critical audit matter are (i) the significant judgment and estimation by management and their third party valuation experts in determining the inputs to estimate fair value, which in turn led to a high degree of auditor judgment, subjectivity, and effort in performing procedures and in evaluating audit evidence obtained related to the fair value of these financial instruments, and (ii) the audit effort involved the use of professionals with specialized skill and knowledge.</w:t>
            </w:r>
          </w:p>
          <w:p>
            <w:pPr>
              <w:pStyle w:val="TableContents"/>
              <w:bidi w:val="0"/>
              <w:spacing w:before="0" w:after="0"/>
              <w:ind w:left="0" w:right="0" w:hanging="0"/>
              <w:jc w:val="both"/>
              <w:rPr>
                <w:caps w:val="false"/>
                <w:smallCaps w:val="false"/>
              </w:rPr>
            </w:pPr>
            <w:r>
              <w:rPr>
                <w:caps w:val="false"/>
                <w:smallCaps w:val="false"/>
              </w:rPr>
              <w:t> </w:t>
            </w:r>
          </w:p>
        </w:tc>
      </w:tr>
      <w:tr>
        <w:trPr/>
        <w:tc>
          <w:tcPr>
            <w:tcW w:w="1198"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How We Addressed the Matter in Our Audit</w:t>
            </w:r>
          </w:p>
        </w:tc>
        <w:tc>
          <w:tcPr>
            <w:tcW w:w="9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Addressing this matter involved performing procedures and evaluating audit evidence in connection with forming our overall opinion on the financial statements. These procedures included reviewing the terms of the underlying agreements that gave rise to the financial instruments. These procedures also included, among others, the involvement of professionals with specialized skill and knowledge to assist in the testing and evaluation of the valuation models prepared by management’s third-party valuation experts. This included assessing the appropriateness of the methodologies used in the valuation process and developing an independent estimate of fair value for these financial instruments and comparing management’s estimate to the independently developed estimate of fair value. Developing the independent estimate involved testing the completeness, accuracy, and relevance of underlying data used in the models, and testing the reasonableness of significant assumptions, including expected dividend yield, expected volume volatility, probability of default, probability and date of a change in control, equity volatility, discount rate, market interest rate, recovery rate, risk-free rate,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 (such date takes into account the acquisition of the attest business of Marcum LLP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 w:name="note2_002"/>
      <w:bookmarkEnd w:id="8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XWELL, Inc. (the “Company”) as of December 31, 2024 the related consolidated statements of operations and comprehensive loss, changes in equity and cash flows for the year ended December 31, 2024, and the related notes (collectively referred to as the “financial statements”). In our opinion, based on our audits,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2020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note2_003"/>
      <w:bookmarkEnd w:id="85"/>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5"/>
        <w:gridCol w:w="60"/>
        <w:gridCol w:w="161"/>
        <w:gridCol w:w="980"/>
        <w:gridCol w:w="80"/>
        <w:gridCol w:w="60"/>
        <w:gridCol w:w="161"/>
        <w:gridCol w:w="980"/>
        <w:gridCol w:w="98"/>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(see Note 17)</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Temporary equity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$0.01 par value per share and $1,000 stated value per share, 4,000 shares authorized; 196 and 0 shares issued and outstanding as of December 31, 2025 and December 31, 2024, respectively; Liquidation preference of $380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 150,000,000 shares authorized; 6,071,324 and 5,261,024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(472,706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deficit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 w:name="note2_004"/>
      <w:bookmarkEnd w:id="86"/>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347" w:type="dxa"/>
        <w:jc w:val="left"/>
        <w:tblInd w:w="0" w:type="dxa"/>
        <w:tblLayout w:type="fixed"/>
        <w:tblCellMar>
          <w:top w:w="0" w:type="dxa"/>
          <w:left w:w="0" w:type="dxa"/>
          <w:bottom w:w="0" w:type="dxa"/>
          <w:right w:w="0" w:type="dxa"/>
        </w:tblCellMar>
      </w:tblPr>
      <w:tblGrid>
        <w:gridCol w:w="5015"/>
        <w:gridCol w:w="60"/>
        <w:gridCol w:w="131"/>
        <w:gridCol w:w="885"/>
        <w:gridCol w:w="83"/>
        <w:gridCol w:w="62"/>
        <w:gridCol w:w="131"/>
        <w:gridCol w:w="885"/>
        <w:gridCol w:w="95"/>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realized and unrealized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(16,077</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(16,991</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accretion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note2_005"/>
      <w:bookmarkEnd w:id="87"/>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0"/>
        <w:gridCol w:w="60"/>
        <w:gridCol w:w="60"/>
        <w:gridCol w:w="845"/>
        <w:gridCol w:w="60"/>
        <w:gridCol w:w="60"/>
        <w:gridCol w:w="225"/>
        <w:gridCol w:w="470"/>
        <w:gridCol w:w="60"/>
        <w:gridCol w:w="60"/>
        <w:gridCol w:w="140"/>
        <w:gridCol w:w="780"/>
        <w:gridCol w:w="60"/>
        <w:gridCol w:w="60"/>
        <w:gridCol w:w="160"/>
        <w:gridCol w:w="970"/>
        <w:gridCol w:w="80"/>
        <w:gridCol w:w="60"/>
        <w:gridCol w:w="240"/>
        <w:gridCol w:w="1055"/>
        <w:gridCol w:w="80"/>
        <w:gridCol w:w="60"/>
        <w:gridCol w:w="136"/>
        <w:gridCol w:w="709"/>
        <w:gridCol w:w="80"/>
        <w:gridCol w:w="60"/>
        <w:gridCol w:w="197"/>
        <w:gridCol w:w="768"/>
        <w:gridCol w:w="60"/>
        <w:gridCol w:w="60"/>
        <w:gridCol w:w="125"/>
        <w:gridCol w:w="650"/>
        <w:gridCol w:w="95"/>
      </w:tblGrid>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related to legal settlement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note2_006"/>
      <w:bookmarkEnd w:id="88"/>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415" w:type="dxa"/>
        <w:jc w:val="left"/>
        <w:tblInd w:w="0" w:type="dxa"/>
        <w:tblLayout w:type="fixed"/>
        <w:tblCellMar>
          <w:top w:w="0" w:type="dxa"/>
          <w:left w:w="0" w:type="dxa"/>
          <w:bottom w:w="0" w:type="dxa"/>
          <w:right w:w="0" w:type="dxa"/>
        </w:tblCellMar>
      </w:tblPr>
      <w:tblGrid>
        <w:gridCol w:w="1085"/>
        <w:gridCol w:w="60"/>
        <w:gridCol w:w="60"/>
        <w:gridCol w:w="485"/>
        <w:gridCol w:w="80"/>
        <w:gridCol w:w="60"/>
        <w:gridCol w:w="120"/>
        <w:gridCol w:w="485"/>
        <w:gridCol w:w="80"/>
        <w:gridCol w:w="60"/>
        <w:gridCol w:w="60"/>
        <w:gridCol w:w="740"/>
        <w:gridCol w:w="60"/>
        <w:gridCol w:w="60"/>
        <w:gridCol w:w="179"/>
        <w:gridCol w:w="426"/>
        <w:gridCol w:w="60"/>
        <w:gridCol w:w="60"/>
        <w:gridCol w:w="120"/>
        <w:gridCol w:w="665"/>
        <w:gridCol w:w="80"/>
        <w:gridCol w:w="60"/>
        <w:gridCol w:w="136"/>
        <w:gridCol w:w="829"/>
        <w:gridCol w:w="80"/>
        <w:gridCol w:w="60"/>
        <w:gridCol w:w="200"/>
        <w:gridCol w:w="885"/>
        <w:gridCol w:w="80"/>
        <w:gridCol w:w="60"/>
        <w:gridCol w:w="116"/>
        <w:gridCol w:w="609"/>
        <w:gridCol w:w="80"/>
        <w:gridCol w:w="60"/>
        <w:gridCol w:w="167"/>
        <w:gridCol w:w="648"/>
        <w:gridCol w:w="80"/>
        <w:gridCol w:w="60"/>
        <w:gridCol w:w="164"/>
        <w:gridCol w:w="861"/>
        <w:gridCol w:w="95"/>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8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G Convertible</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505,679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Series G preferred stock installment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G Preferred Stock in private placement, net of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Accrual of Series G Preferred Stock and dividend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(2,359</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Exchange of Series G Preferred Stock for Senior Secured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(1,684</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Deemed dividends on Preferred Stock and Warrant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 of warrant liability upon warrant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Distributions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comprehensive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6,071,324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(489,697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note2_007"/>
      <w:bookmarkEnd w:id="89"/>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7"/>
        <w:gridCol w:w="60"/>
        <w:gridCol w:w="160"/>
        <w:gridCol w:w="835"/>
        <w:gridCol w:w="102"/>
        <w:gridCol w:w="76"/>
        <w:gridCol w:w="160"/>
        <w:gridCol w:w="835"/>
        <w:gridCol w:w="100"/>
      </w:tblGrid>
      <w:tr>
        <w:trPr/>
        <w:tc>
          <w:tcPr>
            <w:tcW w:w="78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2,529</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on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remeasurement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lease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operating lease 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equity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other assets, current and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other liabilities, current and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offering,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stock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transactions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Common Stock for legal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Accounts payable,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convertible 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Series G convertible preferred stock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stock redemption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conversion of Series G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derivative liability on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convertible preferred stock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convertible note on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 of warrant liability upon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remeasurement due to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 and lease liability recognized for new operating lease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0" w:name="note2_008"/>
      <w:bookmarkEnd w:id="90"/>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General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former subsidiary, gcg Connect, LLC, operating as HyperPointe, provided direct to business marketing support across a number of health and health-related channels and ceased operations during 2025. Naples Wax Center provides upscale hair removal and skincare services through its branded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As of December 31, 2025, the Company had cash and cash equivalents of approximately $2,617, marketable securities of $7, total current assets of $5,910, total current liabilities of $12,892, and long term operating lease liabilities of $7,035. The Company’s working capital was in a deficit position at December 31, 2025, compared with a working capital surplus of $6,113 at December 31, 2024. In light of these conditions and the Company’s historical operating losses, management evaluated whether substantial doubt existed about the Company’s ability to continue as a going concern within one year after the date these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on February 24, 2026, the Company announced it had entered into a private placement of Series H Convertible Preferred Stock with accompanying warrants for expected gross proceeds of approximately $31,300 before fees and expenses, which closed on February 26, 2026. The Company used $9,000 of the proceeds to repurchase certain notes, redeem the Company’s Series G Preferred Stock and certain warrants, with the remainder for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the expected net cash proceeds from the Series H transaction, the planned uses of proceeds, and the Company’s current operating plan in assessing liquidity for the twelve-month period following the issuance of these financial statements. Based on this evaluation, management concluded that the conditions that previously raised substantial doubt have been alleviated as of the issuance date of these consolidated financial statements. Accordingly, the consolidated financial statements have been prepared on a going-concern basis and do not include any adjustments that might result if the Company were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Accounting and Reporting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balances in the consolidated financial statements for the year ended December 31, 2024 have been reclassified to conform to the presentation in the consolidated financial statements for the year ended December 31, 2025. In the prior year, the Company separately disclosed salaries and benefits and in the current year the Company has reclassified these costs on the consolidated statement of operations within general and administrative expenses. In addition, security deposits previously included within other assets have been reclassified and presented separately on the consolidated balance sheets. These reclassifications had no effect on the Company’s previously reported results of operations, changes in temporary and stockholders’ equity,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liabilities, deferred tax assets and liabilities, income tax uncertainties, and 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in checking and money market accounts with financial institutions. The Company has established guidelines relating to the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$7 and $11 of such investments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years ended December 31, 2025 and 2024, write-offs and recoveries of accounts receivable were de minimis. The allowance for credit losses on accounts receivable was also de minimis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allowance for credit losses using a historical loss rate approach, adjusted for current economic conditions and forward-looking information when relevant. The methodology considers the aging of receivables, the creditworthiness of customers, and macroeconomic trends. There were no significant changes to estimation techniques or assumptions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inventory, which are all finished goods, is valued at the lower of cost or net realizable value. Cost is determined using a weighted-average cost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customer relationships, trade names, and technology, which were primarily acquired as part of the acquisition of XpresSpa in December 2016 and Naples Wax Center in 2023 and were recorded based on the estimated fair value in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years ended December 31, 2025 and 2024, the Company recognized impairment of intangible assets of $620 and $5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tested for impairment at the lowest level at which there are identifiable operating cash flows, which is at the individual airport location for the XpresSpa, XpresTest and Naples Wax businesses. The Company’s long-lived assets consist primarily of leasehold improvements and the right to use lease assets for each of its airport locations and off-airport Naples Wax locations (considered the asset groups). The Company reviews its long-lived assets for recoverability when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triggering events and completed an assessment of long-lived assets for impairment. Based upon the results of the impairment test, the Company recorded an impairment expense related to property and equipment and right of use lease assets during the year ended December 31, 2025 of $2,529, and $1,736 respectively, which is recorded in Impairment of long-lived assets and Impairment of operating lease right-of-use assets, respectively, on the consolidated statements of operations and comprehensive loss related to the Company’s Naples Wax and Spa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impairment expense related to property and equipment and intangibles of $1,711 during the year ended December 31, 2024. Additionally, the Company recorded an impairment expense related to operating lease right of use assets of $2,805 during the year ended December 31, 2024. The impairment charges are recorded in Impairment of long-lived assets and Impairment of operating lease right-of-use assets, respectively, on the consolidated statements of operations and comprehensive loss. The expense was primarily related to the impairment of leasehold improvements made to the Company’s Treat and Spa locations and its operating lease right of use assets where management determined that the locations discounted future cash flows were not sufficient to recover the carrying value of these assets over the remaining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use asset (“ROU”) on the Company’s consolidated balance sheets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terms of 12 months or less) from recognition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cannot be readily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which is listed as a separate line item in the consolidated balance sheets, represents balances at financial institutions to secure bonds and letters of credit as required by the Company’s various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are carried at fair value with the changes in fair value recorded in the consolidated statement of operations and other comprehensive loss in accordance with ASU 2016-01. The Company performs a qualitative assessment on an annual basis and recognizes impairment if there are sufficient indicators that the fair value of the investment is less than the carrying value. As of the year ended December 31, 2025 and 2024, there were no indicators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and Naples Wax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the sale of products and services when the services are rendered at XpresSpa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 began conducting bio surveillance monitoring in 2021 in collaboration with the Centers for Disease Control and Prevention (“CDC”) and Concentric by Ginkgo Bioworks Holdings, Inc. (“Ginkgo Bioworks”). The program was renewed through August 2024. Revenue recognized from such one-year extension totaled approximately $7,044. In January 2024, the program funding and scope were expanded, resulting in an additional $4,000 of revenue, including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In February 2025, the program was extended through a three-year contract with a total base value of $22,200 over three years, and a maximum ceiling value of $24,800 within the same timeframe, which represents the amount of consideration that we are entitled. The Company recognizes revenue ratably (straight line basis) over the term of the contract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$6,984 and $11,123, in revenue for the years ended December 31, 2025 and 2024, respectively, related to sample collection performance obligations because the Company’s efforts towards satisfying each of the performance obligations are expended evenly throughout the period of performance. As of December 31, 2025, the Company had $289 of revenue billed in advance related to XpresTest services, which was recorded as deferred revenue on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HyperPointe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HyperPointe business provided a broad range of services and support options for HyperPointe’s customers, including technical support services and advanced services. Technical support services represent the majority of these offerings which are distinct performance obligations that are satisfied over time. The Company applied the right-to-invoice practical expedient and recognizes revenue in the amount it is entitled to invoice when that amount corresponds directly with the value of the performance to date. Advanced services are distinct performance obligations that are satisfied over time with revenue recognized as services are delivered. Revenue billed in advance are treated as deferred revenue which was $0 and $181 as of December 31, 2025 and 2024, respectively. As of December 31, 2025, the HyperPointe unit was no longer operating. The Company excludes all sales taxes assessed to our customers from revenue. Sales taxes assessed on revenues are included in Accrued expenses and other current liabilities on the Company’s consolidated balance sheets until remitted to state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Gift cards, customer rewards and prepaid packages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gift cards and reward points are accrued as the rewards are earned by the cardholder and are included in Accrued expenses and other current liabilities in the consolidated balance sheets until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was $837 and $956 for the year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is the Chief Executive Officer, who reviews the financial performance and the results of operations of the segments prepared in accordance with U.S. GAAP when making decisions about allocating resources and assessing performance of the Company. The Company currently has three reportable operating segments: XpresSpa. XpresTest and Naples Wax Center. See Note 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intersegment revenues. Asset information by operating segment is presented below Note 13 since the chief operating decision maker reviews this information by segment. The reporting segments follow the same accounting policies used in the preparation of the Company’s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Pre-opening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and start-up activity costs, which include rent and occupancy, supplies, advertising, and other direct expenses incurred prior to the opening of a new store, are expensed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consists of location operating costs. These costs include all costs that are directly attributable to the location’s operations and include:</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1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benefits for the location’s operations and management;</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1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percentage rent and occupancy costs;</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1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merchandise and testing supplies;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1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freight, shipping and handling costs;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11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costs;</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1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shortage and valuation adjustments; and</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1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sourcing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shares of convertible preferred stock at their respective fair values on the dates of issuance, net of issuance costs. The Company concluded that the Company’s Series G Convertible Preferred Stock, par value $0.01 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state the convertible preferred stock at redemption value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Modifications and Exchanges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terms of the Company’s convertible preferred stock or exchanges of shares of the Company’s convertible preferred stock are assessed to determine whether the changes or exchange should be accounted for as a modification or an extinguishment. This assessment can be done either qualitatively or quantitatively based upon the significance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results in an extinguishment, then the difference between the fair value of the new or modified preferred stock and other consideration exchanged and the carrying value of the original preferred stock is recognized in equity as a deemed dividend. The difference is also recognized as an adjustment to earnings available to common stockholders for purposes of calculating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debt in accordance with ASC 470-20, Debt - Debt with Conversion and Other Options (“ASC 470-20”). Convertible debt instruments are evaluated at issuance to determine whether they contain embedded features that require bifurcation as derivatives or equity components. If an embedded feature meets the criteria for derivative accounting under ASC 815 it is bifurcated and recorded separately at fair value, with subsequent changes in fair value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consolidated statements of operations. The classification of derivative instruments, including whether such instruments should be recorded as assets, liabilities or as equity, is evaluated at the end of each reporting period. Derivative liabilities are classified in the consolidated balance sheets as current or non-current based on whether or not net-cash settlement or conversion of the instrument could be required within 12 months of the consolidated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guidance in ASC 815-40 to account for warrants that are liability classified that are subsequently modified resulting in a reclassification to equity. The warrants are remeasured at fair value on the modification date, the change in fair value is recognized as a non-cash gain or loss on the consolidated statements of operations, and the warrants are reclassified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the guidance provided by FASB ASC Topic 480, Distinguishing Liabilities from Equity (“ASC 480”),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Translation into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certain transactions in foreign currencies, such as the Euro, Turkish Lira and United Arab Emirates Dirham,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years ended December 31, 2025 and 2024, the Company recorded $654 and $259 respectively, in exchange losses occurring from the remeasurement of monetary balance sheet items denominated in non-dollar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If actual results differ from these estimates in future periods, the Company will be required to adjust the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to be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on the income tax expense line in the accompanying consolidated statement of operations. As of December 31, 2025 and 2024, no accrued interest or penalties are included on the related tax liability line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represent the noncontrolling holders’ percentage share of earnings or losses from; i) the subsidiaries, in which the Company holds a majority, but less than 100%, ownership interest, ii) Variable Interest Entities, where the Company is a primary beneficiary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financial statements are issued, which may result in a loss to the Company, but which will only be resolved when one or more future events occur or fail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year ended December 31, 2025, the Company recorded $1,389 of goodwill impairment loss. During the year ended December 31, 2024, the Company did not record any goodwill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Advertising costs are expensed as incurred. Advertising expenses amounted to approximately $707 and $550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Unadjusted quoted prices in active markets for identical assets or liabilities accessible to the reporting entity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Other than quoted prices included in Level 1 inputs that are observable for the asset or liability, either directly or indirectly, for substantially the full term of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ASU No. 2023-09, Income Taxes (Topic 740): Improvements to Income Tax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adopted ASU 2023-09 for the year ended December 31, 2025 on a prospective basis; adoption did not affect the amounts recognized in the consolidated financial statements, and the Company has updated its income tax disclosures to reflect the new requirements, including expanded effective tax rate reconciliation categories and disaggregation of income taxes paid by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ASU 2024-03, Income Statement-Reporting Comprehensive Income-Expense Disaggregation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which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 years beginning after December 15, 2027. The Company is currently evaluating the effect of adopting this new accounting pronouncement.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ASU 2025-05, Financial Instruments - Credit Losses (Topic 326): Measurement of Credit Losses for Accounts Receivable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amendments are effective for annual periods beginning after December 15, 2025. Early adoption is permitted. The Company is currently evaluating the impact of the new guidance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ASU 2025-11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Interim Reporting (Topic 270) Narrow-Scope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is intended to clarify the applicability of interim reporting guidance and addresses the form and content of interim financial statements and interim disclosure requirements. ASU 2025-11 is effective for interim reporting periods within annual reporting periods beginning after December 15, 2027, and early adoption is permitted. The Company is currently evaluating the impact of this ASU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Net earnings/(loss)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table below presents the computation of basic and diluted (losses)/net earnings per common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50"/>
        <w:gridCol w:w="80"/>
        <w:gridCol w:w="60"/>
        <w:gridCol w:w="125"/>
        <w:gridCol w:w="845"/>
        <w:gridCol w:w="95"/>
      </w:tblGrid>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deemed dividend on warrant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deemed dividend on Exchange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data presented above excludes from the calculation of diluted net loss, the following potentially dilutive securities, having an anti-dilutive impact, in case of net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vested and unvested options to purchase an equal number of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RSUs to issue an equal number of shares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and Series B warrants to purchase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on an as converted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on an as converted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potentially dilutive securities excluded from the calculation of loss per share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14,704,787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569,799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260, 35,000 RSUs that were fully vested on December 31, 2025 were included in basic and dilutive earnings per share as there were no remaining contingencies for these shares to be issued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Cash, Cash Equivalents, and Restricted Cash</w:t>
      </w:r>
    </w:p>
    <w:p>
      <w:pPr>
        <w:pStyle w:val="TextBody"/>
        <w:bidi w:val="0"/>
        <w:spacing w:before="0" w:after="0"/>
        <w:ind w:left="0" w:right="0" w:hanging="0"/>
        <w:jc w:val="left"/>
        <w:rPr>
          <w:caps w:val="false"/>
          <w:smallCaps w:val="false"/>
        </w:rPr>
      </w:pPr>
      <w:r>
        <w:rPr>
          <w:caps w:val="false"/>
          <w:smallCaps w:val="false"/>
        </w:rPr>
        <w:t> </w:t>
      </w:r>
    </w:p>
    <w:tbl>
      <w:tblPr>
        <w:tblW w:w="8638" w:type="dxa"/>
        <w:jc w:val="left"/>
        <w:tblInd w:w="0" w:type="dxa"/>
        <w:tblLayout w:type="fixed"/>
        <w:tblCellMar>
          <w:top w:w="0" w:type="dxa"/>
          <w:left w:w="0" w:type="dxa"/>
          <w:bottom w:w="0" w:type="dxa"/>
          <w:right w:w="0" w:type="dxa"/>
        </w:tblCellMar>
      </w:tblPr>
      <w:tblGrid>
        <w:gridCol w:w="5105"/>
        <w:gridCol w:w="60"/>
        <w:gridCol w:w="334"/>
        <w:gridCol w:w="1305"/>
        <w:gridCol w:w="60"/>
        <w:gridCol w:w="60"/>
        <w:gridCol w:w="334"/>
        <w:gridCol w:w="1305"/>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United States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currency other than United States dollars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and debit card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Company’s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2060"/>
        <w:gridCol w:w="60"/>
        <w:gridCol w:w="141"/>
        <w:gridCol w:w="1499"/>
        <w:gridCol w:w="60"/>
        <w:gridCol w:w="60"/>
        <w:gridCol w:w="336"/>
        <w:gridCol w:w="1304"/>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predominantly comprised of financed and prepaid insurance policies and IT hosting services, which have terms of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comprised of three categories: leasehold improvements, furniture and fixtures, and other operating equipment as of December 31, 2025 and 2024 as follows:</w:t>
      </w:r>
    </w:p>
    <w:p>
      <w:pPr>
        <w:pStyle w:val="TextBody"/>
        <w:bidi w:val="0"/>
        <w:spacing w:before="0" w:after="0"/>
        <w:ind w:left="0" w:right="0" w:hanging="0"/>
        <w:jc w:val="left"/>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2810"/>
        <w:gridCol w:w="60"/>
        <w:gridCol w:w="218"/>
        <w:gridCol w:w="956"/>
        <w:gridCol w:w="80"/>
        <w:gridCol w:w="60"/>
        <w:gridCol w:w="218"/>
        <w:gridCol w:w="956"/>
        <w:gridCol w:w="80"/>
        <w:gridCol w:w="60"/>
        <w:gridCol w:w="149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5-8 years</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3-4 years</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5 years</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computed using the straight-line method over the estimated useful lives of the related assets. Leasehold improvements are depreciated over the shorter of the remaining lease term or economic useful life, which is on average 5 to 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assessments of its property and equipment for impairment for the years ended December 31, 2025 and 2024 and based upon the results of the impairment tests, the Company recorded impairment of approximately $2,529, and $1,706, respectively, which is included in Impairment of long-lived assets on the consolidated statements of operations and comprehensive loss. The impairment expense is primarily related to the underperformance of the Company’s various Naples Wax locations in 2025 and the Company’s various Spa locations in domestic and international airports in 2024. The impairment related to property and equipment is included within the accumulated amortization of the above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recorded depreciation expense of $560 and $622,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Company’s intangible assets, which consist of the following:</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1910"/>
        <w:gridCol w:w="60"/>
        <w:gridCol w:w="167"/>
        <w:gridCol w:w="648"/>
        <w:gridCol w:w="60"/>
        <w:gridCol w:w="60"/>
        <w:gridCol w:w="215"/>
        <w:gridCol w:w="945"/>
        <w:gridCol w:w="80"/>
        <w:gridCol w:w="60"/>
        <w:gridCol w:w="221"/>
        <w:gridCol w:w="594"/>
        <w:gridCol w:w="60"/>
        <w:gridCol w:w="60"/>
        <w:gridCol w:w="167"/>
        <w:gridCol w:w="648"/>
        <w:gridCol w:w="60"/>
        <w:gridCol w:w="60"/>
        <w:gridCol w:w="215"/>
        <w:gridCol w:w="945"/>
        <w:gridCol w:w="80"/>
        <w:gridCol w:w="60"/>
        <w:gridCol w:w="167"/>
        <w:gridCol w:w="648"/>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names and customer relationships relate to the Naples Wax Center, software relates to certain capitalized third-party costs related to a new website and a point-of-sale system, and licenses relate to certain capitalized costs of foreign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the Company recorded an impairment of $620 related to trade names and customer relationships which is included in Impairment of long-lived assets on the consolidated statement of operations and comprehensive loss. The impairment expense primarily relates to intangible assets of Naples Wax. The impairment related to intangibles is included within the accumulated amortization of the above schedule. In the year ended December 31, 2024, the Company identified a triggering event and recorded an impairment of $5 related to Licenses which is included in Impairment of long-lived assets on the consolidated statement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long-lived assets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amortized over their expected useful lives, which are six years for trade names and one and three years for software, whereas the intangibles obtained because of the Naples Wax Center acquisition have an estimated life of 5 to 12 years. During the years ended December 31, 2025 and 2024, the Company recorded amortization expense of $302 and $316, respectively. The remaining intangibles balance of $101 will be fully amortized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spa and clinic locations at various domestic and international airports. Additionally, the Company leases its corporate office in New York City and other off airport locations in various US cities.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all of its existing lease agreements to determine whether there were any modifications to lease agreements and to assess if any agreements should be accounted for pursuant to the guidance in ASC 842. If a lease is deemed to be modified, the operating lease ROU asset and lease liability is re-measured using the current incremental borrowing rate. There were various lease modifications that occurred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Company’s Treat Salt Lake City International Airport (“SLC”) location was terminated. When a termination occurs, the Company remeasures the related operating lease right of use asset and lease liability and recognizes those adjustments in the consolidated statements of operations and comprehensive loss. Since the related operating right of use asset was fully impaired for the Treat SLC location at the time of the termination, the Company recognized a gain from lease termination of approximately $655 as a result of this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Company’s Treat Studios location was terminated. Since the related operating right of use asset was fully impaired for the Treat Studios location at the time of termination, the Company recognized a gain from lease termination of approximately $410 as a result of this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was an increase to the lease term for the XWELL corporate headquarters, located at 254 West 31st Street, New York, which has been accounted for as a lease renewal. A new operating lease right-of-use asset and lease liability were measured at the renewal date, resulting in an right-of-use asset and lease liability of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was an increase to the lease term for the XpresSpa Las Vegas Airport lease, which has been accounted for as a lease modification. The operating lease right-of-use asset and liability were remeasured at the modification date, resulting in an increase to both balances of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activity in the Company’s current and long-term operating lease liabilities for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6785"/>
        <w:gridCol w:w="60"/>
        <w:gridCol w:w="184"/>
        <w:gridCol w:w="802"/>
        <w:gridCol w:w="117"/>
        <w:gridCol w:w="88"/>
        <w:gridCol w:w="184"/>
        <w:gridCol w:w="802"/>
        <w:gridCol w:w="9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assets obtained in exchange for new and modified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minimum operating leases commitments are as follows:</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28" w:type="dxa"/>
          <w:right w:w="0" w:type="dxa"/>
        </w:tblCellMar>
      </w:tblPr>
      <w:tblGrid>
        <w:gridCol w:w="4235"/>
        <w:gridCol w:w="60"/>
        <w:gridCol w:w="125"/>
        <w:gridCol w:w="590"/>
        <w:gridCol w:w="95"/>
      </w:tblGrid>
      <w:tr>
        <w:trPr/>
        <w:tc>
          <w:tcPr>
            <w:tcW w:w="42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Years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 at incremental borrowing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present value of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assumptions and pertinent information related to the Company’s accounting for operating leases are:</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7460"/>
        <w:gridCol w:w="60"/>
        <w:gridCol w:w="60"/>
        <w:gridCol w:w="380"/>
        <w:gridCol w:w="455"/>
      </w:tblGrid>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 used to determine present value of operating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minimum annual rental obligations for the years ended December 31, 2025 and 2024, were $2,272 and $1,668,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calculated monthly as a percentage of a product and services revenue were $1,396 and $1,330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for operating leases for the years ended December 31, 2025 and 2024 were $2,995 and $3,110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assessments of its right of use lease assets for impairment for the years ended December 31, 2025 and 2024. Based upon the results of the impairment tests, the Company recorded impairment expenses of approximately $1,736 and $2,805 which is included in Impairment of operating lease right-of-use assets on the consolidated statement of operations and comprehensive loss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 (deficit) and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XWELL, Inc.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occurred on January 14, 2025 (the “Closing Date”). The Private Placement unit described above had a purchase price of $1,000 per unit and aggregate gross proceeds from the Private Placement were $4,000. The Company used the net proceeds from the Private Placement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consolidated statement of operations. Net proceeds from the Private Placement totaled $3,745.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Agreement, the Company shall pay to each holder of Registrable Securities (as defined in the Registration Rights Agreement) relating to such Registration Statement an amount in cash equal to 2% of such investor’s respective purchase price (as defined in the Securities Purchase Agreement) on the closing date (1) on the date of such filing failure, effectiveness failure, maintenance failure, or current public information failure, as applicable, and (2) on every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 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 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 per month (prorated for partial months) until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G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were determined to be more akin to a debt-like host than an equity-like host. The Company identified the following embedded features that are not clearly and closely related to the debt host instrument and met the requirements for bifurcation: 1) certain contingent redemption options, 2) variable share-settled conversions, and 3) certain contingent penalty features. These bifurcated derivative features were bundled together, assigned probabilities of being 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to the fair value is included as a reduction to the carrying value of the Series G Preferred Shares. During the year ended December 31,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At issuance it was deemed probable that the Series G Preferred Shares will become redeemable, and thus the Company will accrete the carrying value of the Series G Preferred Shares to their redemption value over the expected life of the instruments pursuant to ASC 480-10-S99-3A utilizing the effective interest method.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notified the investors of its intention to redeem installments due in cash and recorded a liability of $538 representing the cash payable to investors which includes $490 of the stated value of the Series G Preferred Shares, $13 of accrued dividends payable of dividends, and $35 of cash premiums which was recognized as a deemed dividend. During the year ended December 31, 2025, the Company redeemed a total of 1,510 Series G Preferred Shares for cash equal to $1,794 and issued 304,621 shares of Common Stock, elected pursuant to the terms of the Series G Certificate of Designations, worth $177.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a total of $509 of preferred dividends consisting of $267 of preferred dividends at the stated dividend rate and $242 of cash premiums recognized as deemed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the Company issued (i) the Series A Warrants to acquire up to an aggregate of 2,673,797 shares of Common Stock at an exercise price of $1.496 per share, and (ii) the Series B Warrants to acquire up to an aggregate of 2,673,797 shares of Common Stock at an exercise price of $1.7952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January 14, 2025, the Company assessed the Warrants under ASC 815 and determined that the Warrants should be classified </w:t>
      </w:r>
      <w:r>
        <w:rPr>
          <w:rFonts w:ascii="Times New Roman;Times;Serif" w:hAnsi="Times New Roman;Times;Serif"/>
          <w:b w:val="false"/>
          <w:i w:val="false"/>
          <w:caps w:val="false"/>
          <w:smallCaps w:val="false"/>
          <w:sz w:val="20"/>
        </w:rPr>
        <w:t xml:space="preserve">as </w:t>
      </w:r>
      <w:r>
        <w:rPr>
          <w:rFonts w:ascii="Times New Roman;Times;Serif" w:hAnsi="Times New Roman;Times;Serif"/>
          <w:b w:val="false"/>
          <w:i w:val="false"/>
          <w:caps w:val="false"/>
          <w:smallCaps w:val="false"/>
          <w:sz w:val="20"/>
          <w:shd w:fill="FFFFFF" w:val="clear"/>
        </w:rPr>
        <w:t>liabilities</w:t>
      </w:r>
      <w:r>
        <w:rPr>
          <w:rFonts w:ascii="Times New Roman;Times;Serif" w:hAnsi="Times New Roman;Times;Serif"/>
          <w:b w:val="false"/>
          <w:i w:val="false"/>
          <w:caps w:val="false"/>
          <w:smallCaps w:val="false"/>
          <w:sz w:val="20"/>
        </w:rPr>
        <w:t xml:space="preserve">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w:t>
      </w:r>
      <w:r>
        <w:rPr>
          <w:rFonts w:ascii="Times New Roman;Times;Serif" w:hAnsi="Times New Roman;Times;Serif"/>
          <w:b w:val="false"/>
          <w:i w:val="false"/>
          <w:caps w:val="false"/>
          <w:smallCaps w:val="false"/>
          <w:sz w:val="20"/>
          <w:shd w:fill="FFFFFF" w:val="clear"/>
        </w:rPr>
        <w:t>The Company utilized the Black Scholes Model to calculate the value of the Warrants issued on issuance. The fair value of the Warrants of approximately $5,900 was estimated at January 14, 2025 utilizing the Black Scholes Model using the following weighted average assumptions: the fair value of the Company’s common stock per share of $1.37; remaining term of 5 years; equity volatility of 114.0%; and a risk-free interest rate of 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 The Company utilized the Black Scholes Model to calculate the value of the Warrants on the modification date. The fair value of the Warrants of approximately $2,658 was estimated at May 16, 2025 utilizing the Black Scholes Model using the following weighted average assumptions: the fair value of the Company’s common stock per share of $0.91; remaining term of 4.67 years; equity volatility of 82.0%; and a risk-free interest rate of 3.97%. On May 16, 2025, the $2,658 fair value of the warrants was reclassified to additional paid-in-capital (APIC) on the consolidated statements of changes in temporary equity and stockholders’ equity and does not require remeasurement moving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gain of approximately $3,215 related to the change in fair value of the warrant liability, prior to reclassification, which is recorded in other income (expense)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Securities Exchange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entered into a Securities Exchange and Amendment Agreement (the “Exchange Agreement”) with the Investors, pursuant to which the Company agreed to exchange a portion of the Company’s outstanding shares of Series G Preferred Stock, including all accrued and unpaid dividends thereon equal to approximately $1,800 in aggregate Stated Value, held by the Investors, for senior secured convertible notes (collectively, the “Notes”) in the aggregate principal amount of $3,387 (collectively, the “Exchange”). As a result of the Exchange Agreement, the Company exchanged a total of 1,804 shares of Series G Preferred Stock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the Company and the Investors agreed to (A) amend certain terms of the Company’s Series G Preferred Stock as set forth in a Certificate of Amendment (the “Certificate of Amendment”) to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price.The Certificate of Amendment amended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provisions such that the Series G Conversion Price will be subject to price-based adjustment in the event of any issuances of Common Stock, or securities convertible, exercisable or exchangeable for Common Stock, or the event of any change in the exercise or conversion price or rate for any such securities previously issued by the Company, at or to a price below the then-applicable Series G Conversion Price (subject to certain exceptions as defined the in the Certificate of Designations),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days immediately prior to such acceleration. These amendments did not result in any changes to the classification of the Series G Convertible Preferred Stock. However, due to the inclusion of certain provisions discussed in item (iv) above, certain conversion features of the surviving Series G Preferred Stock that were previously considered to be indexed to the Company’s common stock may no longer be considered indexed to the Company’s common stock, resulting in an additional feature that is required to be bifurcated and accounted for as a component of the compound embedded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of the Warrants did not result in any changes to the Company’s prior conclusions related to the classification of the Warrants and therefore, the Amended and Restated Warrants remain classified within stockholders’ equity. Accordingly, the Company considers the modification of the Warrants as an equity-for-equity exchange, and therefore the increase in fair value of the Amended and Restated Warrants as a result of the amendments of $2,334 is treated as a deemed dividend which represents a deduction from net loss attributable to common stockholders in the consolidated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Warrants before the modification </w:t>
      </w:r>
      <w:r>
        <w:rPr>
          <w:rFonts w:ascii="Times New Roman;Times;Serif" w:hAnsi="Times New Roman;Times;Serif"/>
          <w:b w:val="false"/>
          <w:i w:val="false"/>
          <w:caps w:val="false"/>
          <w:smallCaps w:val="false"/>
          <w:sz w:val="20"/>
          <w:shd w:fill="FFFFFF" w:val="clear"/>
        </w:rPr>
        <w:t>of $2,181 was estimated at November 10, 2025 utilizing the Black Scholes Model using the following weighted average assumptions: the exercise price of the Series A Warrants and Series B Warrants immediately before the modification of $1.496 and $1.795, respectively; the number of Series A Warrants and Series B Warrants immediately before the modification of 2,673,797 and 2,673,797, respectively; the fair value of the Company’s common stock per share of $0.86; remaining term of 4.18 years; equity volatility of 79.0%; and a risk-free interest rate of 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Amended and Restated Warrants after the modification </w:t>
      </w:r>
      <w:r>
        <w:rPr>
          <w:rFonts w:ascii="Times New Roman;Times;Serif" w:hAnsi="Times New Roman;Times;Serif"/>
          <w:b w:val="false"/>
          <w:i w:val="false"/>
          <w:caps w:val="false"/>
          <w:smallCaps w:val="false"/>
          <w:sz w:val="20"/>
          <w:shd w:fill="FFFFFF" w:val="clear"/>
        </w:rPr>
        <w:t>of $4,515 was estimated at November 10, 2025 utilizing the Black Scholes Model using the following weighted average assumptions: the exercise price of the Warrants immediately after the modification of $1.00; the number of Series A Warrants and Series B Warrants immediately after the modification of 4,245,000 and 4,800,000, respectively; the fair value of the Company’s common stock per share of $0.86; remaining term of 4.18 years; equity volatility of 79.0%; and a risk-free interest rate of 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economic nature of the transaction in that the Exchange and amendment of the Series G Convertible Preferred Stock was with the same holder of the Series G Convertible Preferred Stock, the Company accounted for these transactions as a single transaction (the “Exchange and Amendment”). The Company determined that the Exchange and Amendment represented an extinguishment of the original Series G Preferred Stock and the issuance of the Notes and reissuance of the Series G Convertible Preferred Stock as amended as new instruments, as the fair value of the Notes, amended Series G Convertible Preferred Stock, and incremental fair value of the Amended and Restated Warrants issued to the Investor were substantially higher than the Series G Convertible Preferred Stock shares that were exchanged.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immediately prior to extinguishment, the Series G Preferred Shares were adjusted to their redemption value as they became redeemable as a result of the Exchange and Amendment, and accordingly, during the year ended December 31, 2025, the Company recognized accretion of $4,000 as a deduction from net loss attributable to common stockholders in the consolidated statement of operations which represents the entirety of the discount recognized upon the initial issuance of the Series G Preferred Shares. Additionally, the derivative liability was adjusted to its fair value of $865 immediately prior to the Exchange. The Company estimated the $865 fair value of the bifurcated embedded derivative prior to the Exchange on November 7, 2025 using a Monte Carlo simulation model,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 As a result of these adjustments, the Series G Preferred Shares’ carrying value at November 7, 2025 prior to the Exchange totaled $3,532, which comprised $2,667 of Stated Value of the 2,667 Preferred Shares outstanding and the $865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260, Earnings Per Share, the Company treated the extinguishment of the Series G Convertible Preferred Stock as a redemption, and recognized a total of $4,399 representing the difference between the total fair value of the consideration transferred to the Investors and the carrying amount of the Series G Preferred Shares as a deemed dividend, which is deducted from net loss attributable to common stockholders in the consolidated statement of operations and comprehensive loss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$1,217 fair value of the reissued Series G shares at November 7, 2025, including the $234 fair value of the embedded derivative, using a Monte Carlo simulation,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$6,689 fair value of the Notes at issuance using a Monte Carlo simulation, with the following inputs: the fair value of the Company’s common stock of $0.86 on the valuation date, estimated equity volatility of 81%, the time to maturity of 3.34 years, a discounted market interest rate of 6.1%, a risk-free rate of 3.52%, the stated interest rate of 8.0%, and probability of default of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costs of $25 paid to Investors directly attributable to the Exchange were included in the calculation of the total fair value of the consideration transferred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deemed dividend on exchange of Series G Convertible Preferred Stock:</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5765"/>
        <w:gridCol w:w="60"/>
        <w:gridCol w:w="125"/>
        <w:gridCol w:w="545"/>
        <w:gridCol w:w="95"/>
      </w:tblGrid>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carrying value of Series G Preferred Shares before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consideration transferred in the Exchange: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fair value of reissued Series G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fair value of the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costs paid to Series G investors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gain of $622 related to the change in fair value of the derivative liability related to the Series G Convertible Preferred Stock which is recorded in other income (expense) on the consolidated statements of operations. The Company estimated the $62 fair value of the bifurcated embedded derivative at December 31, 2025 using a Monte Carlo simulation model, with the following inputs: the fair value of the Company’s common stock of $0.46 on the valuation date, estimated equity volatility of 80%, the time to maturity of 1.04 years, a discounted market interest rate of 5.4%, a risk-free rate of 3.42%, dividend rate of 8.0%, a penalty dividend rate of 15.0%, and probability of default of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activity related to the Company’s warrants during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009" w:type="dxa"/>
        <w:jc w:val="left"/>
        <w:tblInd w:w="0" w:type="dxa"/>
        <w:tblLayout w:type="fixed"/>
        <w:tblCellMar>
          <w:top w:w="0" w:type="dxa"/>
          <w:left w:w="0" w:type="dxa"/>
          <w:bottom w:w="0" w:type="dxa"/>
          <w:right w:w="0" w:type="dxa"/>
        </w:tblCellMar>
      </w:tblPr>
      <w:tblGrid>
        <w:gridCol w:w="1610"/>
        <w:gridCol w:w="60"/>
        <w:gridCol w:w="91"/>
        <w:gridCol w:w="1294"/>
        <w:gridCol w:w="60"/>
        <w:gridCol w:w="60"/>
        <w:gridCol w:w="387"/>
        <w:gridCol w:w="1178"/>
        <w:gridCol w:w="60"/>
        <w:gridCol w:w="60"/>
        <w:gridCol w:w="281"/>
        <w:gridCol w:w="1793"/>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warrants were exercisable as of December 31, 2025 with an intrinsic value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2024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$100, were approximately $1,400. The August 2024 Offering closed on August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issued the Notes to the Investors as part of the Exchange. The Notes are convertible into shares of the Company’s Common Stock in accordance with their terms and will be secured by a first priority security interest in the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include certain events of default,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customary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 However, any holder may increase or decrease such percentage to any other percentage not in excess of 9.99%, provided that any increase in such percentage shall not be effective until 61 days after such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embedded features that are not clearly and closely related to the debt host instrument, meet the definition of a derivative and require bifurcation from the Notes: 1) certain contingent redemption options, 2) certain fixed share-settled conversion options, and 3) certain contingent penalty features. These bifurcated derivative features were bundled together, assigned probabilities of being affected and measured at fair value. Subsequent changes in fair value of these features are recognized in the Consolidated Statement of Operations. The Company estimated the $3,105 fair value of the bifurcated embedded derivative at issuance using a Monte Carlo simulation, with the following inputs: the fair value of the Company’s common stock of $0.86 on the issuance date, estimated equity volatility of 81.0%, the time to maturity of 3.34 years, a discounted market interest rate of 6.1%, a risk-free rate of 3.52%, and probability of default of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Company recognized a premium on the Notes of approximately $197, which represents the excess of Notes’ fair value at issuance of $6,689 over the Notes’ total principal of approximately $3,387 and the fair value of the bifurcated derivative at issuance of $3,105.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loss of $700 related to the change in fair value of the derivative liability related to the Notes which is recorded in other income (expense) on the consolidated statements of operations. The Company estimated the $3,807 fair value of the bifurcated embedded derivative at December 31, 2025 using a Monte Carlo simulation model, with the following inputs: the fair value of the Company’s common stock of $0.46 on the valuation date, estimated equity volatility of 82%, the time to maturity of 3.2 years, a discounted market interest rate of 6.6%, a risk-free rate of 3.51%, and probability of default of 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interest expense totaling approximately $41 reflecting an effective interest rate of 8.80%, which was comprised of approximately $35 interest at the stated rate, and approximately $6 representing the amortization of the premium recognized at issuance. There were no conversions of the principal of the Notes or cash payments of principal or interest made by the Company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recorded at amortized cost; the carrying value of the Notes as of December 31, 2025 exclusive of the bifurcated embedded derivative was $3,590, comprising $3,387 of outstanding principal and $203 of unamortized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settled in full for cash during February 2026 via the Repurchase (as defined in Note 19). Accordingly, the full carrying value of the Notes is presented as a current liability on the accompanying consolidated balance sheet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 </w:t>
      </w:r>
      <w:r>
        <w:rPr>
          <w:rFonts w:ascii="Times New Roman;Times;Serif" w:hAnsi="Times New Roman;Times;Serif"/>
          <w:b w:val="false"/>
          <w:i w:val="false"/>
          <w:caps w:val="false"/>
          <w:smallCaps w:val="false"/>
          <w:sz w:val="20"/>
        </w:rPr>
        <w:t>Inputs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 </w:t>
      </w:r>
      <w:r>
        <w:rPr>
          <w:rFonts w:ascii="Times New Roman;Times;Serif" w:hAnsi="Times New Roman;Times;Serif"/>
          <w:b w:val="false"/>
          <w:i w:val="false"/>
          <w:caps w:val="false"/>
          <w:smallCaps w:val="false"/>
          <w:sz w:val="20"/>
        </w:rPr>
        <w:t>Pricing inputs are other than quoted prices in active markets included in Level 1, which are either directly or indirectly observable as of the reported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 </w:t>
      </w:r>
      <w:r>
        <w:rPr>
          <w:rFonts w:ascii="Times New Roman;Times;Serif" w:hAnsi="Times New Roman;Times;Serif"/>
          <w:b w:val="false"/>
          <w:i w:val="false"/>
          <w:caps w:val="false"/>
          <w:smallCaps w:val="false"/>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placement in the fair value hierarchy of the Company’s assets and liabilities measured at fair value on a recurring and nonrecurring basis as of December 31, 2025 and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0" w:type="dxa"/>
          <w:right w:w="0" w:type="dxa"/>
        </w:tblCellMar>
      </w:tblPr>
      <w:tblGrid>
        <w:gridCol w:w="3560"/>
        <w:gridCol w:w="60"/>
        <w:gridCol w:w="125"/>
        <w:gridCol w:w="710"/>
        <w:gridCol w:w="60"/>
        <w:gridCol w:w="60"/>
        <w:gridCol w:w="125"/>
        <w:gridCol w:w="1400"/>
        <w:gridCol w:w="60"/>
        <w:gridCol w:w="60"/>
        <w:gridCol w:w="125"/>
        <w:gridCol w:w="1430"/>
        <w:gridCol w:w="60"/>
        <w:gridCol w:w="60"/>
        <w:gridCol w:w="125"/>
        <w:gridCol w:w="1325"/>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64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at reporting date using</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identical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(Level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Route1,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Nonrecurring fair value measurements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Convertible senior secured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nonrecurring fair value measurements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Route1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Nonrecurring fair value measurements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 in the fair value of the warrant liability that is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4325"/>
        <w:gridCol w:w="60"/>
        <w:gridCol w:w="125"/>
        <w:gridCol w:w="545"/>
        <w:gridCol w:w="9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warrants reported as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to APIC due to warrant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 in the fair value of the bifurcated embedded derivative liabilities that are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7565" w:type="dxa"/>
        <w:jc w:val="left"/>
        <w:tblInd w:w="0" w:type="dxa"/>
        <w:tblLayout w:type="fixed"/>
        <w:tblCellMar>
          <w:top w:w="0" w:type="dxa"/>
          <w:left w:w="0" w:type="dxa"/>
          <w:bottom w:w="0" w:type="dxa"/>
          <w:right w:w="0" w:type="dxa"/>
        </w:tblCellMar>
      </w:tblPr>
      <w:tblGrid>
        <w:gridCol w:w="6800"/>
        <w:gridCol w:w="60"/>
        <w:gridCol w:w="125"/>
        <w:gridCol w:w="485"/>
        <w:gridCol w:w="95"/>
      </w:tblGrid>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preferred stock with bifurcated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debt with bifurcated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convertible preferred stock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the Company’s financial instruments as of December 31, 2025 and 2024 consisted of cash and cash equivalents, receivables and accounts payable. The carrying amounts of all the aforementioned financial instruments approximate fair value because of the short-term maturities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stock-based compensation plan available to grant stock options and RSUs to the Company’s directors, employees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the amendment to the Company’s 2020 Equity Incentive Plan to increase the number of shares authorized for issuance under the Plan by 375,000 shares of Common Stock to an aggregate of 625,000 shares. On February 13, 2025 shareholders approved an amendment to the Company’s 2020 Equity Incentive Plan to increase the number of shares authorized for issuance under the Plan by approximately 2,500,000 shares of Common Stock to an aggregate of 3,125,000 shares. Under the 2020 Equity Incentive Plan (as amended, the “2020 Plan”), a maximum of 1,552,745 shares of Common Stock remained available for issuance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stock options is estimated as of the date of grant using the Black-Scholes option-pricing model. The Company uses the simplified method to estimate the expected term of options due to insufficient history and high turnover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variables were used as inputs in the model as of December 31, 2025:</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5195"/>
        <w:gridCol w:w="60"/>
        <w:gridCol w:w="107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xml:space="preserve">$ </w:t>
            </w:r>
            <w:r>
              <w:rPr>
                <w:rFonts w:ascii="Times New Roman;Times;Serif" w:hAnsi="Times New Roman;Times;Serif"/>
                <w:sz w:val="20"/>
              </w:rPr>
              <w:t>0.97 - 1.52</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xml:space="preserve">$ </w:t>
            </w:r>
            <w:r>
              <w:rPr>
                <w:rFonts w:ascii="Times New Roman;Times;Serif" w:hAnsi="Times New Roman;Times;Serif"/>
                <w:sz w:val="20"/>
              </w:rPr>
              <w:t>0.97 - 1.52</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121.04%</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0%</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average risk-free rate: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4.13 - 4.47%</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6.32 years</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for the years ended December 31, 2025 and 2024 was $1,082 and $893 respectively. All stock-based compensation for the periods ended December 31, 2025 and 2024 was presented on the consolidated Statements of Operations and Comprehensive Loss within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variables were used as inputs in the model as of December 31, 2024:</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5195"/>
        <w:gridCol w:w="60"/>
        <w:gridCol w:w="107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xml:space="preserve">$ </w:t>
            </w:r>
            <w:r>
              <w:rPr>
                <w:rFonts w:ascii="Times New Roman;Times;Serif" w:hAnsi="Times New Roman;Times;Serif"/>
                <w:sz w:val="20"/>
              </w:rPr>
              <w:t>1.50 - 1.80</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xml:space="preserve">$ </w:t>
            </w:r>
            <w:r>
              <w:rPr>
                <w:rFonts w:ascii="Times New Roman;Times;Serif" w:hAnsi="Times New Roman;Times;Serif"/>
                <w:sz w:val="20"/>
              </w:rPr>
              <w:t>1.50 - 1.80</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121.04</w:t>
            </w:r>
            <w:r>
              <w:rPr/>
              <w:t>%</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0</w:t>
            </w:r>
            <w:r>
              <w:rPr/>
              <w:t>%</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average risk-free rate: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3.62 - 4.33%</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6.32 years</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information about stock options and RSU activity during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3080"/>
        <w:gridCol w:w="60"/>
        <w:gridCol w:w="60"/>
        <w:gridCol w:w="755"/>
        <w:gridCol w:w="80"/>
        <w:gridCol w:w="60"/>
        <w:gridCol w:w="219"/>
        <w:gridCol w:w="671"/>
        <w:gridCol w:w="60"/>
        <w:gridCol w:w="60"/>
        <w:gridCol w:w="60"/>
        <w:gridCol w:w="755"/>
        <w:gridCol w:w="80"/>
        <w:gridCol w:w="60"/>
        <w:gridCol w:w="170"/>
        <w:gridCol w:w="660"/>
        <w:gridCol w:w="60"/>
        <w:gridCol w:w="60"/>
        <w:gridCol w:w="92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5"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tc>
        <w:tc>
          <w:tcPr>
            <w:tcW w:w="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 years</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565,679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(540,679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 years</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term for options outstanding as of December 31, 2025 and 2024 was 8.63 years and 7.61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Aggregate Intrinsic Value of Options Outstanding and Vested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stock options as of December 31, 2025 and 2024 were $200 and $266, respectively. The 2025 balance is expected to be recognized over a weighted-average period of approximately 0.41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RSUs as of December 31, 2025 and 2024 were $59 and $48, respectively. The 2025 balance is expected to be recognized over a weighted-average period of approximately 0.50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transitioned to a pure-play wellness service company, which is organized primarily on the basis of products and services specific to individual entities within the group. The Company currently has three reportable operating segments: XpresSpa®, XpresTest® and Naples Wax Center. The Company analyzes the results of the Company’s business through the three reportable segments. The following is a brief description of our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XpresSpa segment provides travelers premium spa services, including massage, nail and skin care, as well as spa and travel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XpresTest segment provides aircraft wastewater and passenger nasal sampling through the CDC’s bio-surveillance program. XpresTest’s HyperPointe business provided a broad range of service and support options for its customers, including technical support services and advanced services and is no longer operating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Naples Wax Center segment operates six locations with core products and service offerings from face and body waxing to a range of skincare and cosmetic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performance and allocates resources for all of its reportable segments based on segment revenues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reported segments for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985"/>
        <w:gridCol w:w="60"/>
        <w:gridCol w:w="145"/>
        <w:gridCol w:w="685"/>
        <w:gridCol w:w="80"/>
        <w:gridCol w:w="60"/>
        <w:gridCol w:w="179"/>
        <w:gridCol w:w="696"/>
        <w:gridCol w:w="60"/>
        <w:gridCol w:w="60"/>
        <w:gridCol w:w="194"/>
        <w:gridCol w:w="845"/>
        <w:gridCol w:w="80"/>
        <w:gridCol w:w="60"/>
        <w:gridCol w:w="145"/>
        <w:gridCol w:w="760"/>
        <w:gridCol w:w="80"/>
        <w:gridCol w:w="60"/>
        <w:gridCol w:w="125"/>
        <w:gridCol w:w="650"/>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985"/>
        <w:gridCol w:w="60"/>
        <w:gridCol w:w="133"/>
        <w:gridCol w:w="697"/>
        <w:gridCol w:w="80"/>
        <w:gridCol w:w="60"/>
        <w:gridCol w:w="152"/>
        <w:gridCol w:w="723"/>
        <w:gridCol w:w="60"/>
        <w:gridCol w:w="60"/>
        <w:gridCol w:w="213"/>
        <w:gridCol w:w="826"/>
        <w:gridCol w:w="80"/>
        <w:gridCol w:w="60"/>
        <w:gridCol w:w="168"/>
        <w:gridCol w:w="737"/>
        <w:gridCol w:w="80"/>
        <w:gridCol w:w="60"/>
        <w:gridCol w:w="125"/>
        <w:gridCol w:w="650"/>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total segment revenues to total consolidated revenue and of total segment operating (loss) income to total consolidated (loss) income, for the years ended December 31, 2025 and 2024, is as follows:</w:t>
      </w:r>
    </w:p>
    <w:p>
      <w:pPr>
        <w:pStyle w:val="TextBody"/>
        <w:bidi w:val="0"/>
        <w:spacing w:before="0" w:after="0"/>
        <w:ind w:left="0" w:right="0" w:hanging="0"/>
        <w:jc w:val="left"/>
        <w:rPr>
          <w:caps w:val="false"/>
          <w:smallCaps w:val="false"/>
        </w:rPr>
      </w:pPr>
      <w:r>
        <w:rPr>
          <w:caps w:val="false"/>
          <w:smallCaps w:val="false"/>
        </w:rPr>
        <w:t> </w:t>
      </w:r>
    </w:p>
    <w:tbl>
      <w:tblPr>
        <w:tblW w:w="9089" w:type="dxa"/>
        <w:jc w:val="left"/>
        <w:tblInd w:w="0" w:type="dxa"/>
        <w:tblLayout w:type="fixed"/>
        <w:tblCellMar>
          <w:top w:w="0" w:type="dxa"/>
          <w:left w:w="0" w:type="dxa"/>
          <w:bottom w:w="0" w:type="dxa"/>
          <w:right w:w="0" w:type="dxa"/>
        </w:tblCellMar>
      </w:tblPr>
      <w:tblGrid>
        <w:gridCol w:w="3950"/>
        <w:gridCol w:w="60"/>
        <w:gridCol w:w="145"/>
        <w:gridCol w:w="685"/>
        <w:gridCol w:w="80"/>
        <w:gridCol w:w="60"/>
        <w:gridCol w:w="163"/>
        <w:gridCol w:w="712"/>
        <w:gridCol w:w="80"/>
        <w:gridCol w:w="60"/>
        <w:gridCol w:w="194"/>
        <w:gridCol w:w="845"/>
        <w:gridCol w:w="80"/>
        <w:gridCol w:w="60"/>
        <w:gridCol w:w="145"/>
        <w:gridCol w:w="760"/>
        <w:gridCol w:w="80"/>
        <w:gridCol w:w="60"/>
        <w:gridCol w:w="125"/>
        <w:gridCol w:w="650"/>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113" w:type="dxa"/>
        <w:jc w:val="left"/>
        <w:tblInd w:w="0" w:type="dxa"/>
        <w:tblLayout w:type="fixed"/>
        <w:tblCellMar>
          <w:top w:w="0" w:type="dxa"/>
          <w:left w:w="0" w:type="dxa"/>
          <w:bottom w:w="0" w:type="dxa"/>
          <w:right w:w="0" w:type="dxa"/>
        </w:tblCellMar>
      </w:tblPr>
      <w:tblGrid>
        <w:gridCol w:w="3950"/>
        <w:gridCol w:w="60"/>
        <w:gridCol w:w="133"/>
        <w:gridCol w:w="697"/>
        <w:gridCol w:w="80"/>
        <w:gridCol w:w="60"/>
        <w:gridCol w:w="152"/>
        <w:gridCol w:w="723"/>
        <w:gridCol w:w="60"/>
        <w:gridCol w:w="60"/>
        <w:gridCol w:w="213"/>
        <w:gridCol w:w="826"/>
        <w:gridCol w:w="80"/>
        <w:gridCol w:w="60"/>
        <w:gridCol w:w="176"/>
        <w:gridCol w:w="773"/>
        <w:gridCol w:w="80"/>
        <w:gridCol w:w="60"/>
        <w:gridCol w:w="125"/>
        <w:gridCol w:w="650"/>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The significant expense amounts align with the expenses that the CODM is regularly provided with to assess performance and allocate resources.</w:t>
            </w:r>
          </w:p>
        </w:tc>
      </w:tr>
    </w:tbl>
    <w:tbl>
      <w:tblPr>
        <w:tblW w:w="5000" w:type="pct"/>
        <w:jc w:val="left"/>
        <w:tblInd w:w="0" w:type="dxa"/>
        <w:tblLayout w:type="fixed"/>
        <w:tblCellMar>
          <w:top w:w="0" w:type="dxa"/>
          <w:left w:w="0" w:type="dxa"/>
          <w:bottom w:w="0" w:type="dxa"/>
          <w:right w:w="0" w:type="dxa"/>
        </w:tblCellMar>
      </w:tblPr>
      <w:tblGrid>
        <w:gridCol w:w="78"/>
        <w:gridCol w:w="597"/>
        <w:gridCol w:w="9530"/>
      </w:tblGrid>
      <w:tr>
        <w:trPr/>
        <w:tc>
          <w:tcPr>
            <w:tcW w:w="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pPr>
            <w:r>
              <w:rPr/>
              <w:t>(2)</w:t>
            </w:r>
          </w:p>
        </w:tc>
        <w:tc>
          <w:tcPr>
            <w:tcW w:w="9530" w:type="dxa"/>
            <w:tcBorders/>
            <w:vAlign w:val="center"/>
          </w:tcPr>
          <w:p>
            <w:pPr>
              <w:pStyle w:val="TableContents"/>
              <w:bidi w:val="0"/>
              <w:spacing w:before="0" w:after="283"/>
              <w:jc w:val="both"/>
              <w:rPr/>
            </w:pPr>
            <w:r>
              <w:rPr/>
              <w:t>For all segments, SGA consists of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Items</w:t>
      </w:r>
    </w:p>
    <w:p>
      <w:pPr>
        <w:pStyle w:val="TextBody"/>
        <w:bidi w:val="0"/>
        <w:spacing w:before="0" w:after="0"/>
        <w:ind w:left="0" w:right="0" w:hanging="0"/>
        <w:jc w:val="left"/>
        <w:rPr>
          <w:caps w:val="false"/>
          <w:smallCaps w:val="false"/>
        </w:rPr>
      </w:pPr>
      <w:r>
        <w:rPr>
          <w:caps w:val="false"/>
          <w:smallCaps w:val="false"/>
        </w:rPr>
        <w:t> </w:t>
      </w:r>
    </w:p>
    <w:tbl>
      <w:tblPr>
        <w:tblW w:w="7174" w:type="dxa"/>
        <w:jc w:val="left"/>
        <w:tblInd w:w="0" w:type="dxa"/>
        <w:tblLayout w:type="fixed"/>
        <w:tblCellMar>
          <w:top w:w="0" w:type="dxa"/>
          <w:left w:w="0" w:type="dxa"/>
          <w:bottom w:w="0" w:type="dxa"/>
          <w:right w:w="0" w:type="dxa"/>
        </w:tblCellMar>
      </w:tblPr>
      <w:tblGrid>
        <w:gridCol w:w="2195"/>
        <w:gridCol w:w="60"/>
        <w:gridCol w:w="170"/>
        <w:gridCol w:w="660"/>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174" w:type="dxa"/>
        <w:jc w:val="left"/>
        <w:tblInd w:w="0" w:type="dxa"/>
        <w:tblLayout w:type="fixed"/>
        <w:tblCellMar>
          <w:top w:w="0" w:type="dxa"/>
          <w:left w:w="0" w:type="dxa"/>
          <w:bottom w:w="0" w:type="dxa"/>
          <w:right w:w="0" w:type="dxa"/>
        </w:tblCellMar>
      </w:tblPr>
      <w:tblGrid>
        <w:gridCol w:w="2195"/>
        <w:gridCol w:w="60"/>
        <w:gridCol w:w="170"/>
        <w:gridCol w:w="660"/>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2025 and 2024. There were no concentrations of geographical revenue and long-lived assets related to any single foreign country that were material to the Company’s consolidated financial statements. Long-lived assets include property and equipment and right of use lease assets.</w:t>
      </w:r>
    </w:p>
    <w:p>
      <w:pPr>
        <w:pStyle w:val="TextBody"/>
        <w:bidi w:val="0"/>
        <w:spacing w:before="0" w:after="0"/>
        <w:ind w:left="0" w:right="0" w:hanging="0"/>
        <w:jc w:val="left"/>
        <w:rPr>
          <w:caps w:val="false"/>
          <w:smallCaps w:val="false"/>
        </w:rPr>
      </w:pPr>
      <w:r>
        <w:rPr>
          <w:caps w:val="false"/>
          <w:smallCaps w:val="false"/>
        </w:rPr>
        <w:t> </w:t>
      </w:r>
    </w:p>
    <w:tbl>
      <w:tblPr>
        <w:tblW w:w="3742" w:type="dxa"/>
        <w:jc w:val="left"/>
        <w:tblInd w:w="0" w:type="dxa"/>
        <w:tblLayout w:type="fixed"/>
        <w:tblCellMar>
          <w:top w:w="0" w:type="dxa"/>
          <w:left w:w="0" w:type="dxa"/>
          <w:bottom w:w="0" w:type="dxa"/>
          <w:right w:w="0" w:type="dxa"/>
        </w:tblCellMar>
      </w:tblPr>
      <w:tblGrid>
        <w:gridCol w:w="1925"/>
        <w:gridCol w:w="60"/>
        <w:gridCol w:w="135"/>
        <w:gridCol w:w="641"/>
        <w:gridCol w:w="65"/>
        <w:gridCol w:w="65"/>
        <w:gridCol w:w="135"/>
        <w:gridCol w:w="641"/>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776" w:type="dxa"/>
            <w:gridSpan w:val="2"/>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76"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impairment assessments of long-lived assets and operating lease right-of-use asset for the years ended December 31, 2025 and 2024. Based upon the results of the impairment tests, the Company recorded impairment expenses of long-lived assets for approximately $959 and $2,190 for its XpresSpa and Naples Wax segments for the year ended December 31, 2025. Additionally, the Company recorded impairment expenses of operating lease right-of-use assets for approximately $673 and $1,063 for its XpresSpa and Naples Wax segments for the year ended December 31, 2025. For the year ended December 31, 2024, the company recorded impairment expenses of long-lived assets for approximately $1,308 and $403 for its XpresSpa and Treat segments, respectively, and impairment expenses of operating lease right-of-use assets for approximately $2,551 and $254 for its XpresSpa and Treat segments,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disaggregated revenue from contracts with customers by the nature of products and services provided (in thousands):</w:t>
      </w:r>
    </w:p>
    <w:p>
      <w:pPr>
        <w:pStyle w:val="TextBody"/>
        <w:bidi w:val="0"/>
        <w:spacing w:before="0" w:after="0"/>
        <w:ind w:left="0" w:right="0" w:hanging="0"/>
        <w:jc w:val="left"/>
        <w:rPr>
          <w:caps w:val="false"/>
          <w:smallCaps w:val="false"/>
        </w:rPr>
      </w:pPr>
      <w:r>
        <w:rPr>
          <w:caps w:val="false"/>
          <w:smallCaps w:val="false"/>
        </w:rPr>
        <w:t> </w:t>
      </w:r>
    </w:p>
    <w:tbl>
      <w:tblPr>
        <w:tblW w:w="3712" w:type="dxa"/>
        <w:jc w:val="left"/>
        <w:tblInd w:w="0" w:type="dxa"/>
        <w:tblLayout w:type="fixed"/>
        <w:tblCellMar>
          <w:top w:w="0" w:type="dxa"/>
          <w:left w:w="0" w:type="dxa"/>
          <w:bottom w:w="0" w:type="dxa"/>
          <w:right w:w="0" w:type="dxa"/>
        </w:tblCellMar>
      </w:tblPr>
      <w:tblGrid>
        <w:gridCol w:w="1895"/>
        <w:gridCol w:w="60"/>
        <w:gridCol w:w="135"/>
        <w:gridCol w:w="641"/>
        <w:gridCol w:w="65"/>
        <w:gridCol w:w="65"/>
        <w:gridCol w:w="135"/>
        <w:gridCol w:w="641"/>
        <w:gridCol w:w="7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29,210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unrecognized committed amount of the Ginkgo/Bioworks contract is $1,853.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did not incur any incremental costs to obtain and/or fulfill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classified as deferred revenue in the consolidated balance sheets. The activity in deferred revenue for the years ended December 31, 2025 and December 31, 2024,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2"/>
        <w:gridCol w:w="60"/>
        <w:gridCol w:w="331"/>
        <w:gridCol w:w="1296"/>
        <w:gridCol w:w="80"/>
        <w:gridCol w:w="60"/>
        <w:gridCol w:w="331"/>
        <w:gridCol w:w="1296"/>
        <w:gridCol w:w="99"/>
      </w:tblGrid>
      <w:tr>
        <w:trPr/>
        <w:tc>
          <w:tcPr>
            <w:tcW w:w="6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period contract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the contract liabilities included in the beginning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due cash received net of amounts recognized revenue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period contract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$1,143 outstanding as of December 31, 2024, $709 has been recognized as revenue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 Company’s efforts toward satisfying each of the performance obligations are typically expended evenly throughout the period of performance. However, for the year ended December 31, 2025, portions of certain performance obligations relate to services not yet performed and are therefore recognized as deferred revenue in the amount of $289. This amount is presented within deferred revenue on the consolidated balance sheets. Naples Wax Center offers prepaid wax packages that are either unlimited for one year or a set number of services. When the packages are purchased, the sales are recorded as deferred revenue, which was $837 and $956 as of December 31, 2025 and December 31, 2024, respectively. As services related to prepaid packages are used, revenue is recognized as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Company’s accrued expenses and other current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7710" w:type="dxa"/>
        <w:jc w:val="center"/>
        <w:tblInd w:w="0" w:type="dxa"/>
        <w:tblLayout w:type="fixed"/>
        <w:tblCellMar>
          <w:top w:w="0" w:type="dxa"/>
          <w:left w:w="0" w:type="dxa"/>
          <w:bottom w:w="0" w:type="dxa"/>
          <w:right w:w="0" w:type="dxa"/>
        </w:tblCellMar>
      </w:tblPr>
      <w:tblGrid>
        <w:gridCol w:w="4175"/>
        <w:gridCol w:w="60"/>
        <w:gridCol w:w="336"/>
        <w:gridCol w:w="1304"/>
        <w:gridCol w:w="60"/>
        <w:gridCol w:w="60"/>
        <w:gridCol w:w="336"/>
        <w:gridCol w:w="1304"/>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Tax-related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 maintenance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Gift certificates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miscellaneous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loss from continuing operations before taxes consists of the following:</w:t>
      </w:r>
    </w:p>
    <w:p>
      <w:pPr>
        <w:pStyle w:val="TextBody"/>
        <w:bidi w:val="0"/>
        <w:spacing w:before="0" w:after="0"/>
        <w:ind w:left="0" w:right="0" w:hanging="0"/>
        <w:jc w:val="left"/>
        <w:rPr>
          <w:caps w:val="false"/>
          <w:smallCaps w:val="false"/>
        </w:rPr>
      </w:pPr>
      <w:r>
        <w:rPr>
          <w:caps w:val="false"/>
          <w:smallCaps w:val="false"/>
        </w:rPr>
        <w:t> </w:t>
      </w:r>
    </w:p>
    <w:tbl>
      <w:tblPr>
        <w:tblW w:w="2645" w:type="dxa"/>
        <w:jc w:val="center"/>
        <w:tblInd w:w="0" w:type="dxa"/>
        <w:tblLayout w:type="fixed"/>
        <w:tblCellMar>
          <w:top w:w="0" w:type="dxa"/>
          <w:left w:w="0" w:type="dxa"/>
          <w:bottom w:w="0" w:type="dxa"/>
          <w:right w:w="0" w:type="dxa"/>
        </w:tblCellMar>
      </w:tblPr>
      <w:tblGrid>
        <w:gridCol w:w="800"/>
        <w:gridCol w:w="60"/>
        <w:gridCol w:w="125"/>
        <w:gridCol w:w="650"/>
        <w:gridCol w:w="80"/>
        <w:gridCol w:w="60"/>
        <w:gridCol w:w="125"/>
        <w:gridCol w:w="650"/>
        <w:gridCol w:w="9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attributable to continued operations for the years ended December 31, 2025 and 2024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801" w:type="dxa"/>
        <w:jc w:val="center"/>
        <w:tblInd w:w="0" w:type="dxa"/>
        <w:tblLayout w:type="fixed"/>
        <w:tblCellMar>
          <w:top w:w="0" w:type="dxa"/>
          <w:left w:w="0" w:type="dxa"/>
          <w:bottom w:w="0" w:type="dxa"/>
          <w:right w:w="0" w:type="dxa"/>
        </w:tblCellMar>
      </w:tblPr>
      <w:tblGrid>
        <w:gridCol w:w="785"/>
        <w:gridCol w:w="60"/>
        <w:gridCol w:w="251"/>
        <w:gridCol w:w="1613"/>
        <w:gridCol w:w="120"/>
        <w:gridCol w:w="120"/>
        <w:gridCol w:w="251"/>
        <w:gridCol w:w="526"/>
        <w:gridCol w:w="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attributable to continuing operations differed from the amounts computed by applying the applicable U.S. federal income tax rate to loss from continuing operations before taxes on income as a result of the following:</w:t>
      </w:r>
    </w:p>
    <w:p>
      <w:pPr>
        <w:pStyle w:val="TextBody"/>
        <w:bidi w:val="0"/>
        <w:spacing w:before="0" w:after="0"/>
        <w:ind w:left="0" w:right="0" w:hanging="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4655"/>
        <w:gridCol w:w="60"/>
        <w:gridCol w:w="253"/>
        <w:gridCol w:w="1110"/>
        <w:gridCol w:w="162"/>
        <w:gridCol w:w="121"/>
        <w:gridCol w:w="121"/>
        <w:gridCol w:w="1114"/>
        <w:gridCol w:w="26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Local Taxes (Net of Federal Income Tax Effect)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 - Netherlands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 - VA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Meals &amp; Entertainment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 and Foreign Tax Activity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Deferred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214" w:type="dxa"/>
        <w:jc w:val="left"/>
        <w:tblInd w:w="0" w:type="dxa"/>
        <w:tblLayout w:type="fixed"/>
        <w:tblCellMar>
          <w:top w:w="0" w:type="dxa"/>
          <w:left w:w="0" w:type="dxa"/>
          <w:bottom w:w="0" w:type="dxa"/>
          <w:right w:w="0" w:type="dxa"/>
        </w:tblCellMar>
      </w:tblPr>
      <w:tblGrid>
        <w:gridCol w:w="4145"/>
        <w:gridCol w:w="60"/>
        <w:gridCol w:w="452"/>
        <w:gridCol w:w="2357"/>
        <w:gridCol w:w="20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2357"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Computed “expected”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net of federal 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Deferred Rate 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Forfeitures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6740" w:type="dxa"/>
        <w:jc w:val="center"/>
        <w:tblInd w:w="0" w:type="dxa"/>
        <w:tblLayout w:type="fixed"/>
        <w:tblCellMar>
          <w:top w:w="0" w:type="dxa"/>
          <w:left w:w="0" w:type="dxa"/>
          <w:bottom w:w="0" w:type="dxa"/>
          <w:right w:w="0" w:type="dxa"/>
        </w:tblCellMar>
      </w:tblPr>
      <w:tblGrid>
        <w:gridCol w:w="4895"/>
        <w:gridCol w:w="60"/>
        <w:gridCol w:w="125"/>
        <w:gridCol w:w="650"/>
        <w:gridCol w:w="80"/>
        <w:gridCol w:w="60"/>
        <w:gridCol w:w="125"/>
        <w:gridCol w:w="650"/>
        <w:gridCol w:w="9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and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income tax assets, net of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Partnership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(liabilities), net of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need for a valuation allowance related to its deferred income tax assets by considering whether it is more likely than not that some portion or all of the deferred income tax assets will not be realized. The company considered positive and negative evidence when evaluating its Valuation Allowance position. The most impactful evidence considered in this assessment is the Company’s history of cumulative losses in recent years. Such cumulative losses are considered objective negative evidence under ASC 740 and carry substantial weight in the realizability analysis. Accordingly, a valuation allowance has been recorded against the Company’s deferred income tax assets, as it is in the opinion of management that it is more likely than not that the net operating loss carryforwards (“NOL”) will not be utilized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valuation allowance as of December 31, 2025 is $75,618 which will be reduced if and when the Company determines that the deferred income tax assets are more likely than not to be realized.</w:t>
      </w:r>
    </w:p>
    <w:p>
      <w:pPr>
        <w:pStyle w:val="TextBody"/>
        <w:bidi w:val="0"/>
        <w:spacing w:before="0" w:after="0"/>
        <w:ind w:left="0" w:right="0" w:hanging="0"/>
        <w:jc w:val="left"/>
        <w:rPr>
          <w:caps w:val="false"/>
          <w:smallCaps w:val="false"/>
        </w:rPr>
      </w:pPr>
      <w:r>
        <w:rPr>
          <w:caps w:val="false"/>
          <w:smallCaps w:val="false"/>
        </w:rPr>
        <w:t> </w:t>
      </w:r>
    </w:p>
    <w:tbl>
      <w:tblPr>
        <w:tblW w:w="3935" w:type="dxa"/>
        <w:jc w:val="center"/>
        <w:tblInd w:w="0" w:type="dxa"/>
        <w:tblLayout w:type="fixed"/>
        <w:tblCellMar>
          <w:top w:w="0" w:type="dxa"/>
          <w:left w:w="0" w:type="dxa"/>
          <w:bottom w:w="0" w:type="dxa"/>
          <w:right w:w="0" w:type="dxa"/>
        </w:tblCellMar>
      </w:tblPr>
      <w:tblGrid>
        <w:gridCol w:w="3065"/>
        <w:gridCol w:w="60"/>
        <w:gridCol w:w="125"/>
        <w:gridCol w:w="590"/>
        <w:gridCol w:w="95"/>
      </w:tblGrid>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to cost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true-up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to cost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true-up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estimated aggregate total NOLs were $150,926 for U.S. federal purposes, expiring 20 years from the respective tax years to which they relate, and $127,912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was signed into law. The Company assessed the income tax effects of the enacted legislation in accordance with ASC 740 during the period of enactment. Based on the Company’s evaluation of the provisions applicable to its facts and circumstances, the Act did not result in a material impact to the Company’s income tax provision, deferred tax balances, or consolidated financial statements for the period ended December 31, 2025. The Company will continue to evaluate additional guidance and interpretations issued with respect to the Act, although it does not currently expect such items to materially affect its accounting for income taxes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recorded state and foreign net operating loss deferred tax assets (tax - effected) of $8,961 and $1,024, respectively. A full valuation allowance has been established against these deferred tax assets and has been included in the net $75,619 deferred tax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treats interest and penalties related to Uncertain Tax Positions as part of Income Tax Expense. The Comapny has not recorded any Uncertain Tax Positions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paid cash income taxes net of refunds recieved, of $58. The Company paid cash taxes for State &amp; Local of $21, and Foreign cash taxes of $37. The State &amp; Local taxes paid included payments to tax authorities of $15 in Virginia and $6 in New York State. The Foreign cash taxes paid included payments to tax authorities of $16 in Dubai and $20 in the Netherlands. Cash tax payments can vary from year to year based on the timing of installment payments, the settlement of audits, the utilization of tax credits and net operating losses, the taxable income generated in each jurisdiction, and the receipt of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$0 as of December 31, 2025 and December 31, 2024, respectively, which is included in Accrued expenses and other 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legal fees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Employment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a former employee filed a complaint in the Circuit Court of the Eleventh Judicial Circuit in and for Miami-Dade County, Florida, against XpresSpa Holdings, LLC. The action was subsequently removed to the United States District Court for the Southern District of Florida on January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alleged claims for age discrimination and retaliation under the Age Discrimination in Employment Act and the Florida Civil Rights Act, disability discrimination under the Americans with Disabilities Act and the Florida Civil Rights Act, and retaliation under Title VII and the Florida Civil Rights Act. The plaintiff alleged, among other things, that they were subjected to age-based and disability-related harassment and that their employment was terminated on July 25, 2024, in retaliation for complaints of discrimination. The complaint sought compensatory and punitive damages, backpay, front pay or reinstatement, injunctive relief, and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denied the allegations and any liability. In order to avoid the expense and uncertainty of further litigation, the parties entered into a confidential settlement agreement. Under the terms of the agreement, the Company agreed to pay a de minimis settlement amount, allocated among alleged lost wages, non-wage damages, and attorneys’ fees. In exchange, the plaintiff agreed to dismiss the action with prejudice and to provide a general release of claims against the Company and related parties. The agreement includes customary provisions regarding confidentiality, non-disparagement, and no admission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this matter to have a material adverse effect on its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OTG Management PHL B v. XpresSpa Philadelphia Terminal B et 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CPC Pain &amp; Wellness SPV,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Holdings, LLC (“XpresSpa”) v. Cordial Endeavor Concessions of Atlanta, LLC (“Cordial”), et al., Arbitration Case No. 2126399.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dispute arises out of the alleged breaches of varies contracts between the parties as well as other improper conduct relating to the Operating Agreements. The matter is currently in the closing stages of arbitration. Although the evidentiary proceedings have concluded and a decision is pending, management does not believe that an unfavorable outcome is probable at this time and is unable to reasonably estimate the amount of loss, if any, that may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the Company entered into a sales and marketing agreement with a vendor that obligates the Company to make payments totaling $662 over the next three years. Payments are due quarterly, with the first installment beginning in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For the year ended December 31, 2025, $558 of this contract was recognized in general and administrative expenses on the consolidated statement of operations and comprehensive loss, $82 was recognized as a prepaid expense in other current assets and $250 was recognized as an accrued liability on the consolidated balance sheets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Private Placement of Preferred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February 2026 Purchase Agreement with the February 2026 Purchaser for the issuance and sale in a private placement of an aggregate of (i) 31,333 shares of the Company’s newly-designated Series H Convertible Preferred Stock, with a par value of $0.01 per share and a stated value of $1,000 per share, initially convertible into up to 66,665,957 shares of Common Stock, at an initial conversion price of $0.47 per share, subject to adjustment for certain customary adjustments, and (ii) the February 2026 Warrants to purchase up to 66,665,957 shares of Common Stock, at an initial exercise price of $0.345 per share, subject to adjustment for certain customary adjustments. The February 2026 Warrants expire three years from the date of issuance. The February 2026 Private Placement closed on February 27, 2026. The aggregate gross proceeds from the February 2026 Private Placement were $31,300.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$250,000,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Warrants, except that the Placement Agent Warrants will have a term of five (5) years from the date of issuance. The Placement Agency Agreement contains customary representations, warranties and agreements of the parties, and customary indemnification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February 2026 Warrants and the Placement Agent Warrants no later than the earlier of (a) 50 days after the later of (1) the closing date of the February 2026 Private Placement or (2) the Escrow Release Date (as defined in the Registration Rights Agreement) and (b) the second trading day following the date on which the Company files its Annual Report on Form 10-K for the year ended December 31, 2025 (the “Filing Deadline”), and to use best efforts to have the registration statement declared effective as promptly as practical thereafter, and in any event no later than 60 days following the Filing Deadline (or 90 days following the Filing Deadline in the event of a “full review”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net proceeds from the February 2026 Private Placement, in part, to repurchase certain outstanding indebtedness, redeem previously issued preferred equity and warrants in the Repurchase (see below Omnibus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Omnibus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Omnibus Agreement, pursuant to which, the Company agreed to (i) repurchase from the January 2025 Investors $5,673 of aggregate principal amount of the Notes, representing the entire outstanding principal amounts of the Notes and any accrued and unpaid interest thereon, (ii) redeem 196 shares of Series G Preferred Stock held by the January 2025 Investors, including $283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to be paid with the proceeds of the Private Placement (collectively, the “Repurchase”). The Repurchase closed on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Preferred Stock Redemption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and February of 2026, the Company issued a total of 1,855,442 shares of common stock upon conversion of the Series G Preferred Stock as elected pursuant to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1" w:name="annexe_009"/>
      <w:bookmarkEnd w:id="91"/>
      <w:r>
        <w:rPr>
          <w:rFonts w:ascii="Times New Roman;Times;Serif" w:hAnsi="Times New Roman;Times;Serif"/>
          <w:b/>
          <w:i w:val="false"/>
          <w:caps w:val="false"/>
          <w:smallCaps w:val="false"/>
          <w:sz w:val="20"/>
        </w:rPr>
        <w:t>ANNEX E</w:t>
      </w:r>
    </w:p>
    <w:p>
      <w:pPr>
        <w:pStyle w:val="TextBody"/>
        <w:bidi w:val="0"/>
        <w:spacing w:before="0" w:after="0"/>
        <w:ind w:left="0" w:right="0" w:hanging="0"/>
        <w:jc w:val="left"/>
        <w:rPr>
          <w:caps w:val="false"/>
          <w:smallCaps w:val="false"/>
        </w:rPr>
      </w:pPr>
      <w:r>
        <w:rPr>
          <w:caps w:val="false"/>
          <w:smallCaps w:val="false"/>
        </w:rPr>
        <w:t> </w:t>
      </w:r>
    </w:p>
    <w:tbl>
      <w:tblPr>
        <w:tblW w:w="13723" w:type="dxa"/>
        <w:jc w:val="center"/>
        <w:tblInd w:w="0" w:type="dxa"/>
        <w:tblLayout w:type="fixed"/>
        <w:tblCellMar>
          <w:top w:w="0" w:type="dxa"/>
          <w:left w:w="0" w:type="dxa"/>
          <w:bottom w:w="0" w:type="dxa"/>
          <w:right w:w="0" w:type="dxa"/>
        </w:tblCellMar>
      </w:tblPr>
      <w:tblGrid>
        <w:gridCol w:w="23"/>
        <w:gridCol w:w="12735"/>
        <w:gridCol w:w="9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9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PLEASE DETACH ALONG PERFORATED LINE AND MAIL IN THE ENVELOPE PROVIDED. NAME &amp; ADDRESS HERE As a stockholder of XWELL,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[DATE]October 27, 2026. XWELL, INC. 2026 SPECIAL MEETING OF STOCKHOLDERS [DATE], 2026 AT [TIME] [TIME ZONE] October 28, 2026 AT 10:00 a.m. Eastern Time THIS PROXY IS SOLICITED ON BEHALF OF THE BOARD OF DIRECTORS OF XWELL, INC. The undersigned hereby appoints Bruce T. Bernstein and Ezra Ernst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2026 special meeting of stockholders (including any adjournment, postponement or rescheduling thereof, the “Special Meeting”) to be held at [TIME AND TIMEZONE] on [DATE]. If properly executed, this proxy will be voted as directed on the reverse and in the discretion of the herein Named Proxies or their substitutes with respect to any other matters as may properly come before the Special Meeting that are unknown to the Company a reasonable time before this solicitation to the extent authorized by Rule 14a-4(c) under the Securities Exchange Act of 1934, as amended. The Special Meeting will be held in a virtual meeting format only, via live audio webcast on the Internet. In order to attend the Special Meeting, you must pre-register at https://web.viewproxy.com/XWELL/2026SM by 11:59 p.m. Eastern Time on [DATE]October 27, 2026. Further instructions on how to attend and vote during the Special Meeting are contained in the Proxy Statement in the section titled “Important Information About the Special Meeting and Voting.” THE SHARES REPRESENTED BY THIS PROXY, WHEN PROPERLY EXECUTED, WILL BE VOTED AS DIRECTED ON THE REVERSE SIDE HEREOF. THE NAMED PROXIES WILL ALSO EXERCISE THEIR DISCRETION ON ANY OTHER MATTERS THAT MAY PROPERLY COME BEFORE THE SPECIAL MEETING, SUBJECT TO APPLICABLE LAW. IF NO DIRECTION IS INDICATED WITH RESPECT TO ANY OF THE PROPOSALS ON THE REVERSE SIDE, THIS PROXY WILL BE VOTED “FOR” PROPOSALS 1, 2, 3 AND 4. THE NAMED PROXIES WILL VOTE IN THEIR DISCRETION ON ANY OTHER MATTERS THAT MAY PROPERLY COME BEFORE THE SPECIAL MEETING TO THE EXTENT AUTHORIZED BY RULE 14a-4(c). Signature Date CONTROL NUMBER Address Change: (If you noted any Address Changes above, please mark box.) ☐ Title Signature (Joint Owners)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 NAME &amp; ADDRESS HERE BARCODE HERE Vote Your Proxy on the Internet: Go to https://AALvote.com/XWELSM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CONTROL NUMBER PROXY VOTING INSTRUCTIONS Please have your 11-digit control number ready when voting by Internet or Telephone. Mr AB Sample Sample Street Sample Town Sampleshire, XXX XXX PROXY VOTING INSTRUCTIONS Please have your 11-digit control number ready when voting by Internet or Telephone. Vote Your Proxy on the Internet: Go to https://AALvote.com/XWELSM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As a stockholder of XWELL,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October 27, 2026. t PLEASE DETACH ALONG PERFORATED LINE AND MAIL IN THE ENVELOPE PROVIDED. t XWELL, INC. 2026 SPECIAL MEETING OF STOCKHOLDERS OCTOBER 28, 2026 AT 10:00 A.M. EASTERN TIME THIS PROXY IS SOLICITED ON BEHALF OF THE BOARD OF DIRECTORS OF XWELL, INC. The undersigned hereby appoints Bruce T. Bernstein and Ezra Ernst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2026 special meeting of stockholders (including any adjournment, postponement or rescheduling thereof, the “Special Meeting”) to be held at 10:00 a.m. Eastern Time on October 28, 2026. If properly executed, this proxy will be voted as directed on the reverse and in the discretion of the herein Named Proxies or their substitutes with respect to any other matters as may properly come before the Special Meeting that are unknown to the Company a reasonable time before this solicitation to the extent authorized by Rule 14a-4(c) under the Securities Exchange Act of 1934, as amended. The Special Meeting will be held in a virtual meeting format only, via live audio webcast on the Internet. In order to attend the Special Meeting, you must pre-register at https://web.viewproxy.com/XWELL/2026SM by 11:59 p.m. Eastern Time on October 27, 2026. Further instructions on how to attend and vote during the Special Meeting are contained in the Proxy Statement in the section titled “Important Information About the Special Meeting and Voting.” THE SHARES REPRESENTED BY THIS PROXY, WHEN PROPERLY EXECUTED, WILL BE VOTED AS DIRECTED ON THE REVERSE SIDE HEREOF. THE NAMED PROXIES WILL ALSO EXERCISE THEIR DISCRETION ON ANY OTHER MATTERS THAT MAY PROPERLY COME BEFORE THE SPECIAL MEETING, SUBJECT TO APPLICABLE LAW. IF NO DIRECTION IS INDICATED WITH RESPECT TO ANY OF THE PROPOSALS ON THE REVERSE SIDE, THIS PROXY WILL BE VOTED “FOR” PROPOSALS 1, 2, 3 AND 4. THE NAMED PROXIES WILL VOTE IN THEIR DISCRETION ON ANY OTHER MATTERS THAT MAY PROPERLY COME BEFORE THE SPECIAL MEETING TO THE EXTENT AUTHORIZED BY RULE 14a-4(c). Signature_____________________________________________________ Date_________________________________________________________ Title__________________________________________________________ Signature (Joint Owners)______________________________________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 Address Change: (If you noted any Address Changes above, please mark box.) o CONTROL NUMBER CONTROL NUMBER Mr AB Sample Sample Street Sample Town Sampleshire, XXX XXX</w:t>
            </w:r>
          </w:p>
        </w:tc>
      </w:tr>
    </w:tbl>
    <w:tbl>
      <w:tblPr>
        <w:tblW w:w="515" w:type="dxa"/>
        <w:jc w:val="center"/>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pPr>
      <w:r>
        <w:rPr/>
        <w:t> </w:t>
      </w:r>
    </w:p>
    <w:p>
      <w:pPr>
        <w:pStyle w:val="TextBody"/>
        <w:bidi w:val="0"/>
        <w:jc w:val="center"/>
        <w:rPr/>
      </w:pPr>
      <w:r>
        <w:rPr/>
        <w:t xml:space="preserve">  </w:t>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Incentive Plan Proposal. To approve the increase of the number of shares of Common Stock reserved for issuance under the XWELL, Inc. 2020 Equity Incentive Plan from 3,125,000 to 4,346,134 (the “Incentive Plan Proposal” or “Proposal 3”). FOR o AGAINST o ABSTAIN o 4. Adjournment Proposal. To approve any adjournment of the Special Meeting from time to time, if necessary or appropriate, to solicit additional votes in the event that there are insufficient shares present virtually or represented by proxy voting in favor of the foregoing proposals (“Proposal 4”). FOR o AGAINST o ABSTAIN o Note: To transact such other business as may properly come before the meeting as determined in the discretion of the proxies. Please mark your votes like this ☒ Your Board of Directors recommends a vote “FOR” Proposals 1, 2, 3 and 4. 1. Sale Proposal. To consider and vote upon a proposal (“Proposal 1”) to approve and adopt the Securities Purchase Agreement, dated as of July 6, 2026 (the “Purchase Agreement”), by and among the Company, XpresSpa Holdings, LLC, a Delaware limited liability company (“XpresSpa”), XpresTest, Inc., a Delaware corporation (“XpresTest” and, together with XpresSpa Holdings, the “Divestiture Companies”), and Express Wellness Group, LLC, a Delaware limited liability company, and to approve the sale of all of the Company’s equity interests in the Divestiture Companies on the terms and conditions set forth in the Purchase Agreement (the “Sale”); FOR o AGAINST o ABSTAIN o 2. Compensation Proposal. To approve, on a non-binding, advisory basis, certain compensation that will or may become payable to our named executive officers in connection with the Sale (“Proposal 2”); and FOR o AGAINST o ABSTAIN o When properly executed, your proxy card/voting instruction form will be voted in the manner you direct. If you do not specify your choices, your shares will be voted “FOR” PROPOSALS 1, 2, 3 and 4. t PLEASE DETACH ALONG PERFORATED LINE AND MAIL IN THE ENVELOPE PROVIDED. t Important Notice Regarding the Availability of Proxy Materials for the Special Meeting of Stockholders to be held on October 28, 2026: The Proxy Statement is available at: https://web.viewproxy.com/XWELL/2026SM</w:t>
            </w:r>
          </w:p>
        </w:tc>
      </w:tr>
    </w:tbl>
    <w:p>
      <w:pPr>
        <w:pStyle w:val="TextBody"/>
        <w:bidi w:val="0"/>
        <w:ind w:left="1080" w:right="0" w:hanging="0"/>
        <w:jc w:val="both"/>
        <w:rPr>
          <w:caps w:val="false"/>
          <w:smallCaps w:val="false"/>
          <w:color w:val="FFFFFF"/>
        </w:rPr>
      </w:pPr>
      <w:r>
        <w:rPr>
          <w:caps w:val="false"/>
          <w:smallCaps w:val="false"/>
          <w:color w:val="FFFFFF"/>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jc w:val="center"/>
        <w:rPr>
          <w:rFonts w:ascii="Times New Roman;Times;Serif" w:hAnsi="Times New Roman;Times;Serif"/>
          <w:b/>
          <w:i w:val="false"/>
          <w:caps w:val="false"/>
          <w:smallCaps w:val="false"/>
          <w:sz w:val="20"/>
        </w:rPr>
      </w:pPr>
      <w:bookmarkStart w:id="92" w:name="anef_001"/>
      <w:bookmarkEnd w:id="92"/>
      <w:r>
        <w:rPr>
          <w:rFonts w:ascii="Times New Roman;Times;Serif" w:hAnsi="Times New Roman;Times;Serif"/>
          <w:b/>
          <w:i w:val="false"/>
          <w:caps w:val="false"/>
          <w:smallCaps w:val="false"/>
          <w:sz w:val="20"/>
        </w:rPr>
        <w:t xml:space="preserve">XWELL, INC.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2020 Equity Incentive Plan (as amended October 4, 2022) </w:t>
      </w:r>
    </w:p>
    <w:p>
      <w:pPr>
        <w:pStyle w:val="TextBody"/>
        <w:bidi w:val="0"/>
        <w:spacing w:before="0" w:after="0"/>
        <w:jc w:val="left"/>
        <w:rPr>
          <w:caps w:val="false"/>
          <w:smallCaps w:val="false"/>
        </w:rPr>
      </w:pPr>
      <w:r>
        <w:rPr>
          <w:caps w:val="false"/>
          <w:smallCaps w:val="false"/>
        </w:rPr>
        <w:t xml:space="preserve">  </w:t>
      </w:r>
    </w:p>
    <w:tbl>
      <w:tblPr>
        <w:tblW w:w="2268" w:type="dxa"/>
        <w:jc w:val="left"/>
        <w:tblInd w:w="0" w:type="dxa"/>
        <w:tblLayout w:type="fixed"/>
        <w:tblCellMar>
          <w:top w:w="0" w:type="dxa"/>
          <w:left w:w="0" w:type="dxa"/>
          <w:bottom w:w="0" w:type="dxa"/>
          <w:right w:w="0" w:type="dxa"/>
        </w:tblCellMar>
      </w:tblPr>
      <w:tblGrid>
        <w:gridCol w:w="38"/>
        <w:gridCol w:w="26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xml:space="preserve">1. </w:t>
            </w:r>
          </w:p>
        </w:tc>
        <w:tc>
          <w:tcPr>
            <w:tcW w:w="1970" w:type="dxa"/>
            <w:tcBorders/>
            <w:vAlign w:val="center"/>
          </w:tcPr>
          <w:p>
            <w:pPr>
              <w:pStyle w:val="TableContents"/>
              <w:bidi w:val="0"/>
              <w:spacing w:before="0" w:after="283"/>
              <w:jc w:val="left"/>
              <w:rPr/>
            </w:pPr>
            <w:r>
              <w:rPr>
                <w:u w:val="single"/>
              </w:rPr>
              <w:t>Purpose; Eligibility</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39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General Purpose</w:t>
      </w:r>
      <w:r>
        <w:rPr>
          <w:rFonts w:ascii="Times New Roman;Times;Serif" w:hAnsi="Times New Roman;Times;Serif"/>
          <w:b w:val="false"/>
          <w:i w:val="false"/>
          <w:caps w:val="false"/>
          <w:smallCaps w:val="false"/>
          <w:sz w:val="20"/>
        </w:rPr>
        <w:t xml:space="preserve">. The name of this plan is the XWELL, Inc. 2020 Equity Incentive Plan. The purposes of the Plan are to (a) enable XWELL,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39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Eligible Award Recipients</w:t>
      </w:r>
      <w:r>
        <w:rPr>
          <w:rFonts w:ascii="Times New Roman;Times;Serif" w:hAnsi="Times New Roman;Times;Serif"/>
          <w:b w:val="false"/>
          <w:i w:val="false"/>
          <w:caps w:val="false"/>
          <w:smallCaps w:val="false"/>
          <w:sz w:val="20"/>
        </w:rPr>
        <w:t xml:space="preserve">. The persons eligible to receive Awards are the Employees, Consultants and Directors of the Company and its Affiliates and such other individuals designated by the Committee who are reasonably expected to become Employees, Consultants and Directors after the receipt of Awards.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39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Available Awards</w:t>
      </w:r>
      <w:r>
        <w:rPr>
          <w:rFonts w:ascii="Times New Roman;Times;Serif" w:hAnsi="Times New Roman;Times;Serif"/>
          <w:b w:val="false"/>
          <w:i w:val="false"/>
          <w:caps w:val="false"/>
          <w:smallCaps w:val="false"/>
          <w:sz w:val="20"/>
        </w:rPr>
        <w:t xml:space="preserve">. Awards that may be granted under the Plan include: (a) Incentive Stock Options, (b) Non-Qualified Stock Options, (c) Stock Appreciation Rights, (d) Restricted Awards,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Performance Stock Awards, (f) Cash Awards, and (g) Other Equity-Based Awards. </w:t>
      </w:r>
    </w:p>
    <w:p>
      <w:pPr>
        <w:pStyle w:val="TextBody"/>
        <w:bidi w:val="0"/>
        <w:spacing w:before="0" w:after="0"/>
        <w:jc w:val="left"/>
        <w:rPr>
          <w:caps w:val="false"/>
          <w:smallCaps w:val="false"/>
        </w:rPr>
      </w:pPr>
      <w:r>
        <w:rPr>
          <w:caps w:val="false"/>
          <w:smallCaps w:val="false"/>
        </w:rPr>
        <w:t xml:space="preserve">  </w:t>
      </w:r>
    </w:p>
    <w:tbl>
      <w:tblPr>
        <w:tblW w:w="1503" w:type="dxa"/>
        <w:jc w:val="left"/>
        <w:tblInd w:w="0" w:type="dxa"/>
        <w:tblLayout w:type="fixed"/>
        <w:tblCellMar>
          <w:top w:w="0" w:type="dxa"/>
          <w:left w:w="0" w:type="dxa"/>
          <w:bottom w:w="0" w:type="dxa"/>
          <w:right w:w="0" w:type="dxa"/>
        </w:tblCellMar>
      </w:tblPr>
      <w:tblGrid>
        <w:gridCol w:w="38"/>
        <w:gridCol w:w="26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xml:space="preserve">2. </w:t>
            </w:r>
          </w:p>
        </w:tc>
        <w:tc>
          <w:tcPr>
            <w:tcW w:w="1205" w:type="dxa"/>
            <w:tcBorders/>
            <w:vAlign w:val="center"/>
          </w:tcPr>
          <w:p>
            <w:pPr>
              <w:pStyle w:val="TableContents"/>
              <w:bidi w:val="0"/>
              <w:spacing w:before="0" w:after="283"/>
              <w:jc w:val="left"/>
              <w:rPr/>
            </w:pPr>
            <w:r>
              <w:rPr>
                <w:u w:val="single"/>
              </w:rPr>
              <w:t>Definitions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a corporation or other entity that, directly or through one or more intermediaries, controls, is controlled by or is under common control with, the Company.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xml:space="preserve">”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xml:space="preserve">” means any right granted under the Plan, including an Incentive Stock Option, a Non-Qualified Stock Option, a Stock Appreciation Right, a Restricted Award, a Performance Stock Award, a Cash Award, or an Other Equity-Based Award.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xml:space="preserve">”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xml:space="preserve">”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of the Company, as constituted at any time.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Award”</w:t>
      </w:r>
      <w:r>
        <w:rPr>
          <w:rFonts w:ascii="Times New Roman;Times;Serif" w:hAnsi="Times New Roman;Times;Serif"/>
          <w:b w:val="false"/>
          <w:i w:val="false"/>
          <w:caps w:val="false"/>
          <w:smallCaps w:val="false"/>
          <w:sz w:val="20"/>
        </w:rPr>
        <w:t xml:space="preserve"> means an Award denominated in cash that is granted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of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xml:space="preserve">”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xml:space="preserve">” with respect to any Participant shall have the meaning specified in the Participant’s Award Agreement. In the absence of any such definition, a “Change in Control” shall mean the occurrence of any of the following: </w:t>
      </w:r>
    </w:p>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 xml:space="preserve">(i) </w:t>
            </w:r>
          </w:p>
        </w:tc>
        <w:tc>
          <w:tcPr>
            <w:tcW w:w="9991" w:type="dxa"/>
            <w:tcBorders/>
            <w:vAlign w:val="center"/>
          </w:tcPr>
          <w:p>
            <w:pPr>
              <w:pStyle w:val="TableContents"/>
              <w:bidi w:val="0"/>
              <w:spacing w:before="0" w:after="283"/>
              <w:jc w:val="both"/>
              <w:rPr/>
            </w:pPr>
            <w:r>
              <w:rPr>
                <w:i/>
              </w:rPr>
              <w:t>Ownership</w:t>
            </w:r>
            <w:r>
              <w:rPr/>
              <w:t xml:space="preserve">. Any “Person” (as such term is used in Sections 13(d) and 14(d) of the Exchange Act)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(ii) </w:t>
            </w:r>
          </w:p>
        </w:tc>
        <w:tc>
          <w:tcPr>
            <w:tcW w:w="9937" w:type="dxa"/>
            <w:tcBorders/>
            <w:vAlign w:val="center"/>
          </w:tcPr>
          <w:p>
            <w:pPr>
              <w:pStyle w:val="TableContents"/>
              <w:bidi w:val="0"/>
              <w:spacing w:before="0" w:after="283"/>
              <w:jc w:val="both"/>
              <w:rPr/>
            </w:pPr>
            <w:r>
              <w:rPr>
                <w:i/>
              </w:rPr>
              <w:t>Merger/Sale of Assets</w:t>
            </w:r>
            <w:r>
              <w:rPr/>
              <w:t xml:space="preserve">. (A) A merger or consolidation of the Company whether or not 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 xml:space="preserve">(iii) </w:t>
            </w:r>
          </w:p>
        </w:tc>
        <w:tc>
          <w:tcPr>
            <w:tcW w:w="9876" w:type="dxa"/>
            <w:tcBorders/>
            <w:vAlign w:val="center"/>
          </w:tcPr>
          <w:p>
            <w:pPr>
              <w:pStyle w:val="TableContents"/>
              <w:bidi w:val="0"/>
              <w:spacing w:before="0" w:after="283"/>
              <w:jc w:val="both"/>
              <w:rPr/>
            </w:pPr>
            <w:r>
              <w:rPr>
                <w:i/>
              </w:rPr>
              <w:t>Change in Board Composition</w:t>
            </w:r>
            <w:r>
              <w:rPr/>
              <w:t xml:space="preserve">. A change in the composition of the Board of Directors, as a result 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as it may be amended from time to time. Any reference to a section of the Code shall be deemed to include a reference to any regulations promulgated thereunder.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means a committee of one or more members of the Board appointed by the Board to administer the Plan in accordance with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or any Officers of the Company to whom it has delegated authority as permitted under Section 3.3.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shares of the Company’s common stock, $0.01 par value per share, or such other securities of the Company as may be designated by the Committee from time to time in substitution thereof.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XWELL, Inc., and any successor thereto.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xml:space="preserve">”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 </w:t>
      </w:r>
    </w:p>
    <w:p>
      <w:pPr>
        <w:pStyle w:val="TextBody"/>
        <w:bidi w:val="0"/>
        <w:spacing w:before="0" w:after="0"/>
        <w:ind w:left="0" w:right="0" w:firstLine="398"/>
        <w:jc w:val="left"/>
        <w:rPr>
          <w:caps w:val="false"/>
          <w:smallCaps w:val="false"/>
        </w:rPr>
      </w:pPr>
      <w:r>
        <w:rPr>
          <w:caps w:val="false"/>
          <w:smallCaps w:val="false"/>
        </w:rPr>
        <w:t xml:space="preserve">  </w:t>
      </w:r>
    </w:p>
    <w:p>
      <w:pPr>
        <w:pStyle w:val="TextBody"/>
        <w:bidi w:val="0"/>
        <w:spacing w:before="0" w:after="0"/>
        <w:ind w:left="0" w:right="0" w:firstLine="398"/>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398"/>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there is no interruption or termination of the Participant’s Continuous Service; </w:t>
      </w:r>
      <w:r>
        <w:rPr>
          <w:rFonts w:ascii="Times New Roman;Times;Serif" w:hAnsi="Times New Roman;Times;Serif"/>
          <w:b w:val="false"/>
          <w:i/>
          <w:caps w:val="false"/>
          <w:smallCaps w:val="false"/>
          <w:sz w:val="20"/>
        </w:rPr>
        <w:t xml:space="preserve">provided further that </w:t>
      </w:r>
      <w:r>
        <w:rPr>
          <w:rFonts w:ascii="Times New Roman;Times;Serif" w:hAnsi="Times New Roman;Times;Serif"/>
          <w:b w:val="false"/>
          <w:i w:val="false"/>
          <w:caps w:val="false"/>
          <w:smallCaps w:val="false"/>
          <w:sz w:val="20"/>
        </w:rPr>
        <w:t xml:space="preserve">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Deferred Stock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hereof.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xml:space="preserve">” means a member of the Board.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xml:space="preserve">” means, unless the applicable Award Agreement says otherwise, permanent and total disability as defined in Section 22(e)(3) of the Code.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Disqualifying Disposition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14.12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shall mean the date as of which this Plan is adopted by the Board. </w:t>
      </w:r>
    </w:p>
    <w:p>
      <w:pPr>
        <w:pStyle w:val="TextBody"/>
        <w:bidi w:val="0"/>
        <w:spacing w:before="0" w:after="0"/>
        <w:ind w:left="0" w:right="0" w:firstLine="398"/>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means any person, including an Officer or Director, employed as an employee by the Company or an Affiliate;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means the Securities Exchange Act of 1934, as amended.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means the Company’s fiscal year.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xml:space="preserve">”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xml:space="preserve">” means an Option that is designated by the Committee as an incentive stock option within the meaning of Section 422 of the Code and that meets the requirements set out in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Non-Employee Director</w:t>
      </w:r>
      <w:r>
        <w:rPr>
          <w:rFonts w:ascii="Times New Roman;Times;Serif" w:hAnsi="Times New Roman;Times;Serif"/>
          <w:b w:val="false"/>
          <w:i w:val="false"/>
          <w:caps w:val="false"/>
          <w:smallCaps w:val="false"/>
          <w:sz w:val="20"/>
        </w:rPr>
        <w:t xml:space="preserve">” means a Director who is a “non-employee director” within the meaning of Rule 16b-3 and an “independent director” as defined in the Marketplace Rules of The NASDAQ Stock Market LLC.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Non-Qualified Stock Option</w:t>
      </w:r>
      <w:r>
        <w:rPr>
          <w:rFonts w:ascii="Times New Roman;Times;Serif" w:hAnsi="Times New Roman;Times;Serif"/>
          <w:b w:val="false"/>
          <w:i w:val="false"/>
          <w:caps w:val="false"/>
          <w:smallCaps w:val="false"/>
          <w:sz w:val="20"/>
        </w:rPr>
        <w:t xml:space="preserve">” means an Option that by its terms does not qualify or is not intended to qualify as an Incentive Stock Option.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who is an officer of the Company within the meaning of Section 16 of the Exchange Act and the rules and regulations promulgated thereunder.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xml:space="preserve">” means an Incentive Stock Option or a Non-Qualified Stock Option granted pursuant to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xml:space="preserve">” means a person to whom an Option is granted pursuant to the Plan or, if applicable, such other person who holds an outstanding Option.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xml:space="preserve">” means the price at which a share of Common Stock may be purchased upon the exercise of an Option.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Equity-Based Award”</w:t>
      </w:r>
      <w:r>
        <w:rPr>
          <w:rFonts w:ascii="Times New Roman;Times;Serif" w:hAnsi="Times New Roman;Times;Serif"/>
          <w:b w:val="false"/>
          <w:i w:val="false"/>
          <w:caps w:val="false"/>
          <w:smallCaps w:val="false"/>
          <w:sz w:val="20"/>
        </w:rPr>
        <w:t xml:space="preserve"> means an Award that is not an Option, Stock Appreciation Right, Restricted Stock, Restricted Stock Unit, or Performance Stock Award that is granted under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7.4</w:t>
      </w:r>
      <w:r>
        <w:rPr>
          <w:rFonts w:ascii="Times New Roman;Times;Serif" w:hAnsi="Times New Roman;Times;Serif"/>
          <w:b w:val="false"/>
          <w:i w:val="false"/>
          <w:caps w:val="false"/>
          <w:smallCaps w:val="false"/>
          <w:sz w:val="20"/>
        </w:rPr>
        <w:t xml:space="preserve"> and is payable by delivery of Common Stock and/or which is measured by reference to the value of Common Stock.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means an eligible person to whom an Award is granted pursuant to the Plan or, if applicable, such other person who holds an outstanding Award.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Performance Goals</w:t>
      </w:r>
      <w:r>
        <w:rPr>
          <w:rFonts w:ascii="Times New Roman;Times;Serif" w:hAnsi="Times New Roman;Times;Serif"/>
          <w:b w:val="false"/>
          <w:i w:val="false"/>
          <w:caps w:val="false"/>
          <w:smallCaps w:val="false"/>
          <w:sz w:val="20"/>
        </w:rPr>
        <w:t xml:space="preserve">” means, for a Performance Period, the one or more goals established by the Committee for the Performance Period based upon business criteria or other performance measures determined by the Committee in its discretion.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xml:space="preserve">” means the one or more periods of time, as the Committee may select, over which the attainment of one or more Performance Goals will be measured for the purpose of determining a Participant’s right to and the payment of a Performance Stock Award or a Cash Award.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Performance Stock Award</w:t>
      </w:r>
      <w:r>
        <w:rPr>
          <w:rFonts w:ascii="Times New Roman;Times;Serif" w:hAnsi="Times New Roman;Times;Serif"/>
          <w:b w:val="false"/>
          <w:i w:val="false"/>
          <w:caps w:val="false"/>
          <w:smallCaps w:val="false"/>
          <w:sz w:val="20"/>
        </w:rPr>
        <w:t xml:space="preserve">” means any Award granted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i w:val="false"/>
          <w:caps w:val="false"/>
          <w:smallCaps w:val="false"/>
          <w:sz w:val="20"/>
        </w:rPr>
        <w:t>Performance Stock</w:t>
      </w:r>
      <w:r>
        <w:rPr>
          <w:rFonts w:ascii="Times New Roman;Times;Serif" w:hAnsi="Times New Roman;Times;Serif"/>
          <w:b w:val="false"/>
          <w:i w:val="false"/>
          <w:caps w:val="false"/>
          <w:smallCaps w:val="false"/>
          <w:sz w:val="20"/>
        </w:rPr>
        <w:t xml:space="preserve">” means the grant of a right to receive a number of actual shares of Common Stock or stock units based upon the performance of the Company during a Performance Period, as determined by the Committee.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 xml:space="preserve">means a person as defined in Section 13(d)(3) of the Exchange Act.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xml:space="preserve">” means this XWELL, Inc. 2020 Equity Incentive Plan, as amended and/or amended and restated from time to time.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Prior Plan</w:t>
      </w:r>
      <w:r>
        <w:rPr>
          <w:rFonts w:ascii="Times New Roman;Times;Serif" w:hAnsi="Times New Roman;Times;Serif"/>
          <w:b w:val="false"/>
          <w:i w:val="false"/>
          <w:caps w:val="false"/>
          <w:smallCaps w:val="false"/>
          <w:sz w:val="20"/>
        </w:rPr>
        <w:t xml:space="preserve">” means the Vringo, Inc. 2012 Employee, Director and Consultant Equity Incentive Plan, as amended.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drawing>
          <wp:inline distT="0" distB="0" distL="0" distR="0">
            <wp:extent cx="14605" cy="1460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4605" cy="14605"/>
                    </a:xfrm>
                    <a:prstGeom prst="rect">
                      <a:avLst/>
                    </a:prstGeom>
                  </pic:spPr>
                </pic:pic>
              </a:graphicData>
            </a:graphic>
          </wp:inline>
        </w:drawing>
      </w:r>
      <w:r>
        <w:rPr>
          <w:caps w:val="false"/>
          <w:smallCaps w:val="false"/>
        </w:rPr>
        <w:drawing>
          <wp:inline distT="0" distB="0" distL="0" distR="0">
            <wp:extent cx="14605" cy="1460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4605" cy="14605"/>
                    </a:xfrm>
                    <a:prstGeom prst="rect">
                      <a:avLst/>
                    </a:prstGeom>
                  </pic:spPr>
                </pic:pic>
              </a:graphicData>
            </a:graphic>
          </wp:inline>
        </w:drawing>
      </w:r>
      <w:r>
        <w:rPr>
          <w:caps w:val="false"/>
          <w:smallCaps w:val="false"/>
        </w:rPr>
        <w:drawing>
          <wp:inline distT="0" distB="0" distL="0" distR="0">
            <wp:extent cx="14605" cy="1460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4605" cy="14605"/>
                    </a:xfrm>
                    <a:prstGeom prst="rect">
                      <a:avLst/>
                    </a:prstGeom>
                  </pic:spPr>
                </pic:pic>
              </a:graphicData>
            </a:graphic>
          </wp:inline>
        </w:drawing>
      </w:r>
      <w:r>
        <w:rPr>
          <w:caps w:val="false"/>
          <w:smallCaps w:val="false"/>
        </w:rPr>
        <w:drawing>
          <wp:inline distT="0" distB="0" distL="0" distR="0">
            <wp:extent cx="14605" cy="1460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4605" cy="14605"/>
                    </a:xfrm>
                    <a:prstGeom prst="rect">
                      <a:avLst/>
                    </a:prstGeom>
                  </pic:spPr>
                </pic:pic>
              </a:graphicData>
            </a:graphic>
          </wp:inline>
        </w:drawing>
      </w:r>
      <w:r>
        <w:rPr>
          <w:caps w:val="false"/>
          <w:smallCaps w:val="false"/>
        </w:rPr>
        <w:t>“</w:t>
      </w:r>
      <w:r>
        <w:rPr>
          <w:rFonts w:ascii="Times New Roman;Times;Serif" w:hAnsi="Times New Roman;Times;Serif"/>
          <w:b/>
          <w:i w:val="false"/>
          <w:caps w:val="false"/>
          <w:smallCaps w:val="false"/>
          <w:sz w:val="20"/>
        </w:rPr>
        <w:t>Restricted Award</w:t>
      </w:r>
      <w:r>
        <w:rPr>
          <w:rFonts w:ascii="Times New Roman;Times;Serif" w:hAnsi="Times New Roman;Times;Serif"/>
          <w:b w:val="false"/>
          <w:i w:val="false"/>
          <w:caps w:val="false"/>
          <w:smallCaps w:val="false"/>
          <w:sz w:val="20"/>
        </w:rPr>
        <w:t xml:space="preserve">” means any Award granted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xml:space="preserve">” means Rule 16b-3 promulgated under the Exchange Act or any successor to Rule 16b-3, as in effect from time to time.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as amended.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Appreciation Right</w:t>
      </w:r>
      <w:r>
        <w:rPr>
          <w:rFonts w:ascii="Times New Roman;Times;Serif" w:hAnsi="Times New Roman;Times;Serif"/>
          <w:b w:val="false"/>
          <w:i w:val="false"/>
          <w:caps w:val="false"/>
          <w:smallCaps w:val="false"/>
          <w:sz w:val="20"/>
        </w:rPr>
        <w:t xml:space="preserve">” means the right pursuant to an Award granted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Substitute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Ten Percent Stockholder</w:t>
      </w:r>
      <w:r>
        <w:rPr>
          <w:rFonts w:ascii="Times New Roman;Times;Serif" w:hAnsi="Times New Roman;Times;Serif"/>
          <w:b w:val="false"/>
          <w:i w:val="false"/>
          <w:caps w:val="false"/>
          <w:smallCaps w:val="false"/>
          <w:sz w:val="20"/>
        </w:rPr>
        <w:t xml:space="preserve">” means a person who owns (or is deemed to own pursuant to Section 424(d) of the Code) shares possessing more than 10% of the total combined voting power of all classes of shares of the Company or of any of its Affiliates.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tbl>
      <w:tblPr>
        <w:tblW w:w="1863" w:type="dxa"/>
        <w:jc w:val="left"/>
        <w:tblInd w:w="0" w:type="dxa"/>
        <w:tblLayout w:type="fixed"/>
        <w:tblCellMar>
          <w:top w:w="0" w:type="dxa"/>
          <w:left w:w="0" w:type="dxa"/>
          <w:bottom w:w="0" w:type="dxa"/>
          <w:right w:w="0" w:type="dxa"/>
        </w:tblCellMar>
      </w:tblPr>
      <w:tblGrid>
        <w:gridCol w:w="38"/>
        <w:gridCol w:w="26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xml:space="preserve">3. </w:t>
            </w:r>
          </w:p>
        </w:tc>
        <w:tc>
          <w:tcPr>
            <w:tcW w:w="1565" w:type="dxa"/>
            <w:tcBorders/>
            <w:vAlign w:val="center"/>
          </w:tcPr>
          <w:p>
            <w:pPr>
              <w:pStyle w:val="TableContents"/>
              <w:bidi w:val="0"/>
              <w:spacing w:before="0" w:after="283"/>
              <w:jc w:val="left"/>
              <w:rPr/>
            </w:pPr>
            <w:r>
              <w:rPr>
                <w:u w:val="single"/>
              </w:rPr>
              <w:t>Administration</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Authority of Committee</w:t>
      </w:r>
      <w:r>
        <w:rPr>
          <w:rFonts w:ascii="Times New Roman;Times;Serif" w:hAnsi="Times New Roman;Times;Serif"/>
          <w:b w:val="false"/>
          <w:i w:val="false"/>
          <w:caps w:val="false"/>
          <w:smallCaps w:val="false"/>
          <w:sz w:val="20"/>
        </w:rPr>
        <w:t xml:space="preserv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 </w:t>
      </w:r>
    </w:p>
    <w:p>
      <w:pPr>
        <w:pStyle w:val="TextBody"/>
        <w:bidi w:val="0"/>
        <w:spacing w:before="0" w:after="0"/>
        <w:jc w:val="left"/>
        <w:rPr>
          <w:caps w:val="false"/>
          <w:smallCaps w:val="false"/>
        </w:rPr>
      </w:pPr>
      <w:r>
        <w:rPr>
          <w:caps w:val="false"/>
          <w:smallCaps w:val="false"/>
        </w:rPr>
        <w:t xml:space="preserve">  </w:t>
      </w:r>
    </w:p>
    <w:tbl>
      <w:tblPr>
        <w:tblW w:w="5928" w:type="dxa"/>
        <w:jc w:val="left"/>
        <w:tblInd w:w="0" w:type="dxa"/>
        <w:tblLayout w:type="fixed"/>
        <w:tblCellMar>
          <w:top w:w="0" w:type="dxa"/>
          <w:left w:w="0" w:type="dxa"/>
          <w:bottom w:w="0" w:type="dxa"/>
          <w:right w:w="0" w:type="dxa"/>
        </w:tblCellMar>
      </w:tblPr>
      <w:tblGrid>
        <w:gridCol w:w="38"/>
        <w:gridCol w:w="33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 xml:space="preserve">(a) </w:t>
            </w:r>
          </w:p>
        </w:tc>
        <w:tc>
          <w:tcPr>
            <w:tcW w:w="5555" w:type="dxa"/>
            <w:tcBorders/>
            <w:vAlign w:val="center"/>
          </w:tcPr>
          <w:p>
            <w:pPr>
              <w:pStyle w:val="TableContents"/>
              <w:bidi w:val="0"/>
              <w:spacing w:before="0" w:after="283"/>
              <w:jc w:val="left"/>
              <w:rPr/>
            </w:pPr>
            <w:r>
              <w:rPr/>
              <w:t xml:space="preserve">to construe and interpret the Plan and apply its provisions; </w:t>
            </w:r>
          </w:p>
        </w:tc>
      </w:tr>
    </w:tbl>
    <w:p>
      <w:pPr>
        <w:pStyle w:val="TextBody"/>
        <w:bidi w:val="0"/>
        <w:spacing w:before="0" w:after="0"/>
        <w:jc w:val="left"/>
        <w:rPr>
          <w:caps w:val="false"/>
          <w:smallCaps w:val="false"/>
        </w:rPr>
      </w:pPr>
      <w:r>
        <w:rPr>
          <w:caps w:val="false"/>
          <w:smallCaps w:val="false"/>
        </w:rPr>
        <w:t xml:space="preserve">  </w:t>
      </w:r>
    </w:p>
    <w:tbl>
      <w:tblPr>
        <w:tblW w:w="9633" w:type="dxa"/>
        <w:jc w:val="left"/>
        <w:tblInd w:w="0" w:type="dxa"/>
        <w:tblLayout w:type="fixed"/>
        <w:tblCellMar>
          <w:top w:w="0" w:type="dxa"/>
          <w:left w:w="0" w:type="dxa"/>
          <w:bottom w:w="0" w:type="dxa"/>
          <w:right w:w="0" w:type="dxa"/>
        </w:tblCellMar>
      </w:tblPr>
      <w:tblGrid>
        <w:gridCol w:w="38"/>
        <w:gridCol w:w="35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(b) </w:t>
            </w:r>
          </w:p>
        </w:tc>
        <w:tc>
          <w:tcPr>
            <w:tcW w:w="9245" w:type="dxa"/>
            <w:tcBorders/>
            <w:vAlign w:val="center"/>
          </w:tcPr>
          <w:p>
            <w:pPr>
              <w:pStyle w:val="TableContents"/>
              <w:bidi w:val="0"/>
              <w:spacing w:before="0" w:after="283"/>
              <w:jc w:val="both"/>
              <w:rPr/>
            </w:pPr>
            <w:r>
              <w:rPr/>
              <w:t xml:space="preserve">to promulgate, amend, and rescind rules and regulations relating to the administration of the Plan;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 xml:space="preserve">(c) </w:t>
            </w:r>
          </w:p>
        </w:tc>
        <w:tc>
          <w:tcPr>
            <w:tcW w:w="9857" w:type="dxa"/>
            <w:tcBorders/>
            <w:vAlign w:val="center"/>
          </w:tcPr>
          <w:p>
            <w:pPr>
              <w:pStyle w:val="TableContents"/>
              <w:bidi w:val="0"/>
              <w:spacing w:before="0" w:after="283"/>
              <w:jc w:val="both"/>
              <w:rPr/>
            </w:pPr>
            <w:r>
              <w:rPr/>
              <w:t xml:space="preserve">to authorize any person to execute, on behalf of the Company, any instrument required to carry out the purposes of the Plan;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xml:space="preserve">(d) </w:t>
            </w:r>
          </w:p>
        </w:tc>
        <w:tc>
          <w:tcPr>
            <w:tcW w:w="9875" w:type="dxa"/>
            <w:tcBorders/>
            <w:vAlign w:val="center"/>
          </w:tcPr>
          <w:p>
            <w:pPr>
              <w:pStyle w:val="TableContents"/>
              <w:bidi w:val="0"/>
              <w:spacing w:before="0" w:after="283"/>
              <w:jc w:val="both"/>
              <w:rPr/>
            </w:pPr>
            <w:r>
              <w:rPr/>
              <w:t xml:space="preserve">to delegate its authority to one or more Officers of the Company with respect to Awards that do not involve “insiders” within the meaning of Section 16 of the Exchange Act; </w:t>
            </w:r>
          </w:p>
        </w:tc>
      </w:tr>
    </w:tbl>
    <w:p>
      <w:pPr>
        <w:pStyle w:val="TextBody"/>
        <w:bidi w:val="0"/>
        <w:spacing w:before="0" w:after="0"/>
        <w:jc w:val="left"/>
        <w:rPr>
          <w:caps w:val="false"/>
          <w:smallCaps w:val="false"/>
        </w:rPr>
      </w:pPr>
      <w:r>
        <w:rPr>
          <w:caps w:val="false"/>
          <w:smallCaps w:val="false"/>
        </w:rPr>
        <w:t xml:space="preserve">  </w:t>
      </w:r>
    </w:p>
    <w:tbl>
      <w:tblPr>
        <w:tblW w:w="9033" w:type="dxa"/>
        <w:jc w:val="left"/>
        <w:tblInd w:w="0" w:type="dxa"/>
        <w:tblLayout w:type="fixed"/>
        <w:tblCellMar>
          <w:top w:w="0" w:type="dxa"/>
          <w:left w:w="0" w:type="dxa"/>
          <w:bottom w:w="0" w:type="dxa"/>
          <w:right w:w="0" w:type="dxa"/>
        </w:tblCellMar>
      </w:tblPr>
      <w:tblGrid>
        <w:gridCol w:w="38"/>
        <w:gridCol w:w="335"/>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 xml:space="preserve">(e) </w:t>
            </w:r>
          </w:p>
        </w:tc>
        <w:tc>
          <w:tcPr>
            <w:tcW w:w="8660" w:type="dxa"/>
            <w:tcBorders/>
            <w:vAlign w:val="center"/>
          </w:tcPr>
          <w:p>
            <w:pPr>
              <w:pStyle w:val="TableContents"/>
              <w:bidi w:val="0"/>
              <w:spacing w:before="0" w:after="283"/>
              <w:jc w:val="left"/>
              <w:rPr/>
            </w:pPr>
            <w:r>
              <w:rPr/>
              <w:t xml:space="preserve">to determine when Awards are to be granted under the Plan and the applicable Grant Date;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 xml:space="preserve">(f) </w:t>
            </w:r>
          </w:p>
        </w:tc>
        <w:tc>
          <w:tcPr>
            <w:tcW w:w="9899" w:type="dxa"/>
            <w:tcBorders/>
            <w:vAlign w:val="center"/>
          </w:tcPr>
          <w:p>
            <w:pPr>
              <w:pStyle w:val="TableContents"/>
              <w:bidi w:val="0"/>
              <w:spacing w:before="0" w:after="283"/>
              <w:jc w:val="both"/>
              <w:rPr/>
            </w:pPr>
            <w:r>
              <w:rPr/>
              <w:t xml:space="preserve">from time to time to select, subject to the limitations set forth in this Plan, those eligible Award recipients to whom Awards shall be granted; </w:t>
            </w:r>
          </w:p>
        </w:tc>
      </w:tr>
    </w:tbl>
    <w:p>
      <w:pPr>
        <w:pStyle w:val="TextBody"/>
        <w:bidi w:val="0"/>
        <w:spacing w:before="0" w:after="0"/>
        <w:jc w:val="left"/>
        <w:rPr>
          <w:caps w:val="false"/>
          <w:smallCaps w:val="false"/>
        </w:rPr>
      </w:pPr>
      <w:r>
        <w:rPr>
          <w:caps w:val="false"/>
          <w:smallCaps w:val="false"/>
        </w:rPr>
        <w:t xml:space="preserve">  </w:t>
      </w:r>
    </w:p>
    <w:tbl>
      <w:tblPr>
        <w:tblW w:w="8808" w:type="dxa"/>
        <w:jc w:val="left"/>
        <w:tblInd w:w="0" w:type="dxa"/>
        <w:tblLayout w:type="fixed"/>
        <w:tblCellMar>
          <w:top w:w="0" w:type="dxa"/>
          <w:left w:w="0" w:type="dxa"/>
          <w:bottom w:w="0" w:type="dxa"/>
          <w:right w:w="0" w:type="dxa"/>
        </w:tblCellMar>
      </w:tblPr>
      <w:tblGrid>
        <w:gridCol w:w="38"/>
        <w:gridCol w:w="35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(g) </w:t>
            </w:r>
          </w:p>
        </w:tc>
        <w:tc>
          <w:tcPr>
            <w:tcW w:w="8420" w:type="dxa"/>
            <w:tcBorders/>
            <w:vAlign w:val="center"/>
          </w:tcPr>
          <w:p>
            <w:pPr>
              <w:pStyle w:val="TableContents"/>
              <w:bidi w:val="0"/>
              <w:spacing w:before="0" w:after="283"/>
              <w:jc w:val="left"/>
              <w:rPr/>
            </w:pPr>
            <w:r>
              <w:rPr/>
              <w:t xml:space="preserve">to determine the number of shares of Common Stock to be made subject to each Award; </w:t>
            </w:r>
          </w:p>
        </w:tc>
      </w:tr>
    </w:tbl>
    <w:p>
      <w:pPr>
        <w:pStyle w:val="TextBody"/>
        <w:bidi w:val="0"/>
        <w:spacing w:before="0" w:after="0"/>
        <w:jc w:val="left"/>
        <w:rPr>
          <w:caps w:val="false"/>
          <w:smallCaps w:val="false"/>
        </w:rPr>
      </w:pPr>
      <w:r>
        <w:rPr>
          <w:caps w:val="false"/>
          <w:smallCaps w:val="false"/>
        </w:rPr>
        <w:t xml:space="preserve">  </w:t>
      </w:r>
    </w:p>
    <w:tbl>
      <w:tblPr>
        <w:tblW w:w="10203" w:type="dxa"/>
        <w:jc w:val="left"/>
        <w:tblInd w:w="0" w:type="dxa"/>
        <w:tblLayout w:type="fixed"/>
        <w:tblCellMar>
          <w:top w:w="0" w:type="dxa"/>
          <w:left w:w="0" w:type="dxa"/>
          <w:bottom w:w="0" w:type="dxa"/>
          <w:right w:w="0" w:type="dxa"/>
        </w:tblCellMar>
      </w:tblPr>
      <w:tblGrid>
        <w:gridCol w:w="38"/>
        <w:gridCol w:w="35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(h) </w:t>
            </w:r>
          </w:p>
        </w:tc>
        <w:tc>
          <w:tcPr>
            <w:tcW w:w="9815" w:type="dxa"/>
            <w:tcBorders/>
            <w:vAlign w:val="center"/>
          </w:tcPr>
          <w:p>
            <w:pPr>
              <w:pStyle w:val="TableContents"/>
              <w:bidi w:val="0"/>
              <w:spacing w:before="0" w:after="283"/>
              <w:jc w:val="both"/>
              <w:rPr/>
            </w:pPr>
            <w:r>
              <w:rPr/>
              <w:t xml:space="preserve">to determine whether each Option is to be an Incentive Stock Option or a Non-Qualified Stock Option; </w:t>
            </w:r>
          </w:p>
        </w:tc>
      </w:tr>
    </w:tbl>
    <w:p>
      <w:pPr>
        <w:pStyle w:val="TextBody"/>
        <w:bidi w:val="0"/>
        <w:spacing w:before="0" w:after="0"/>
        <w:ind w:left="0" w:right="0" w:hanging="40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 xml:space="preserve">(i) </w:t>
            </w:r>
          </w:p>
        </w:tc>
        <w:tc>
          <w:tcPr>
            <w:tcW w:w="9954" w:type="dxa"/>
            <w:tcBorders/>
            <w:vAlign w:val="center"/>
          </w:tcPr>
          <w:p>
            <w:pPr>
              <w:pStyle w:val="TableContents"/>
              <w:bidi w:val="0"/>
              <w:spacing w:before="0" w:after="283"/>
              <w:jc w:val="both"/>
              <w:rPr/>
            </w:pPr>
            <w:r>
              <w:rPr/>
              <w:t xml:space="preserve">to prescribe the terms and conditions of each Award, including, without limitation, the exercise price and medium of payment and vesting provisions, and to specify the provisions of the Award Agreement relating to such grant;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 xml:space="preserve">(j) </w:t>
            </w:r>
          </w:p>
        </w:tc>
        <w:tc>
          <w:tcPr>
            <w:tcW w:w="9965" w:type="dxa"/>
            <w:tcBorders/>
            <w:vAlign w:val="center"/>
          </w:tcPr>
          <w:p>
            <w:pPr>
              <w:pStyle w:val="TableContents"/>
              <w:bidi w:val="0"/>
              <w:spacing w:before="0" w:after="283"/>
              <w:jc w:val="both"/>
              <w:rPr/>
            </w:pPr>
            <w:r>
              <w:rPr/>
              <w:t xml:space="preserve">to determine the target number of Performance Stock to be granted pursuant to a Performance Stock Award, the performance measures that will be used to establish the Performance Goals, the Performance Period(s) and the number of Performance Stock earned by a Participant;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 xml:space="preserve">(k) </w:t>
            </w:r>
          </w:p>
        </w:tc>
        <w:tc>
          <w:tcPr>
            <w:tcW w:w="9923" w:type="dxa"/>
            <w:tcBorders/>
            <w:vAlign w:val="center"/>
          </w:tcPr>
          <w:p>
            <w:pPr>
              <w:pStyle w:val="TableContents"/>
              <w:bidi w:val="0"/>
              <w:spacing w:before="0" w:after="283"/>
              <w:jc w:val="both"/>
              <w:rPr/>
            </w:pPr>
            <w:r>
              <w:rPr/>
              <w:t xml:space="preserve">to amend any outstanding Awards, including for the purpose of modifying the time or manner of vesting, or the term of any outstanding Award; </w:t>
            </w:r>
            <w:r>
              <w:rPr>
                <w:i/>
              </w:rPr>
              <w:t>provided, however</w:t>
            </w:r>
            <w:r>
              <w:rPr/>
              <w:t xml:space="preserve">, that if any such amendment impairs a Participant’s rights or increases a Participant’s obligations under his or her Award or creates or increases a Participant’s federal income tax liability with respect to an Award, such amendment shall also be subject to the Participant’s consent;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 xml:space="preserve">(l) </w:t>
            </w:r>
          </w:p>
        </w:tc>
        <w:tc>
          <w:tcPr>
            <w:tcW w:w="9970" w:type="dxa"/>
            <w:tcBorders/>
            <w:vAlign w:val="center"/>
          </w:tcPr>
          <w:p>
            <w:pPr>
              <w:pStyle w:val="TableContents"/>
              <w:bidi w:val="0"/>
              <w:spacing w:before="0" w:after="283"/>
              <w:jc w:val="both"/>
              <w:rPr/>
            </w:pPr>
            <w:r>
              <w:rPr/>
              <w:t xml:space="preserve">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 </w:t>
            </w:r>
          </w:p>
        </w:tc>
      </w:tr>
    </w:tbl>
    <w:p>
      <w:pPr>
        <w:pStyle w:val="TextBody"/>
        <w:bidi w:val="0"/>
        <w:spacing w:before="0" w:after="0"/>
        <w:ind w:left="0" w:right="0" w:hanging="40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 xml:space="preserve">(m) </w:t>
            </w:r>
          </w:p>
        </w:tc>
        <w:tc>
          <w:tcPr>
            <w:tcW w:w="9813" w:type="dxa"/>
            <w:tcBorders/>
            <w:vAlign w:val="center"/>
          </w:tcPr>
          <w:p>
            <w:pPr>
              <w:pStyle w:val="TableContents"/>
              <w:bidi w:val="0"/>
              <w:spacing w:before="0" w:after="283"/>
              <w:jc w:val="both"/>
              <w:rPr/>
            </w:pPr>
            <w:r>
              <w:rPr/>
              <w:t xml:space="preserve">to make decisions with respect to outstanding Awards that may become necessary upon a change in corporate control or an event that triggers anti-dilution adjustments;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 xml:space="preserve">(n) </w:t>
            </w:r>
          </w:p>
        </w:tc>
        <w:tc>
          <w:tcPr>
            <w:tcW w:w="9886" w:type="dxa"/>
            <w:tcBorders/>
            <w:vAlign w:val="center"/>
          </w:tcPr>
          <w:p>
            <w:pPr>
              <w:pStyle w:val="TableContents"/>
              <w:bidi w:val="0"/>
              <w:spacing w:before="0" w:after="283"/>
              <w:jc w:val="both"/>
              <w:rPr/>
            </w:pPr>
            <w:r>
              <w:rPr/>
              <w:t xml:space="preserve">to interpret, administer, reconcile any inconsistency in, correct any defect in and/or supply any omission in the Plan and any instrument or agreement relating to, or Award granted under, the Plan; and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 xml:space="preserve">(o) </w:t>
            </w:r>
          </w:p>
        </w:tc>
        <w:tc>
          <w:tcPr>
            <w:tcW w:w="9860" w:type="dxa"/>
            <w:tcBorders/>
            <w:vAlign w:val="center"/>
          </w:tcPr>
          <w:p>
            <w:pPr>
              <w:pStyle w:val="TableContents"/>
              <w:bidi w:val="0"/>
              <w:spacing w:before="0" w:after="283"/>
              <w:jc w:val="both"/>
              <w:rPr/>
            </w:pPr>
            <w:r>
              <w:rPr/>
              <w:t xml:space="preserve">to exercise discretion to make any and all other determinations which it determines to be necessary or advisable for the administration of the Plan.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also may modify the purchase price or the exercise price of any outstanding       Award,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modification effects a repricing, stockholder approval shall be required before the repricing is effective.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Committee Decisions Final</w:t>
      </w:r>
      <w:r>
        <w:rPr>
          <w:rFonts w:ascii="Times New Roman;Times;Serif" w:hAnsi="Times New Roman;Times;Serif"/>
          <w:b w:val="false"/>
          <w:i w:val="false"/>
          <w:caps w:val="false"/>
          <w:smallCaps w:val="false"/>
          <w:sz w:val="20"/>
        </w:rPr>
        <w:t xml:space="preserve">. All decisions made by the Committee pursuant to the provisions of the Plan shall be final and binding on the Company and the Participants, unless such decisions are determined by a court having jurisdiction to be arbitrary and capricious.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Committee Composition</w:t>
      </w:r>
      <w:r>
        <w:rPr>
          <w:rFonts w:ascii="Times New Roman;Times;Serif" w:hAnsi="Times New Roman;Times;Serif"/>
          <w:b w:val="false"/>
          <w:i w:val="false"/>
          <w:caps w:val="false"/>
          <w:smallCaps w:val="false"/>
          <w:sz w:val="20"/>
        </w:rPr>
        <w:t xml:space="preserve">.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within 60 days after the institution of any such action, suit or proceeding, such Committee shall, in writing, offer the Company the opportunity at its own expense to handle and defend such action, suit or proceeding.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tbl>
      <w:tblPr>
        <w:tblW w:w="2913" w:type="dxa"/>
        <w:jc w:val="left"/>
        <w:tblInd w:w="0" w:type="dxa"/>
        <w:tblLayout w:type="fixed"/>
        <w:tblCellMar>
          <w:top w:w="0" w:type="dxa"/>
          <w:left w:w="0" w:type="dxa"/>
          <w:bottom w:w="0" w:type="dxa"/>
          <w:right w:w="0" w:type="dxa"/>
        </w:tblCellMar>
      </w:tblPr>
      <w:tblGrid>
        <w:gridCol w:w="38"/>
        <w:gridCol w:w="26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xml:space="preserve">4. </w:t>
            </w:r>
          </w:p>
        </w:tc>
        <w:tc>
          <w:tcPr>
            <w:tcW w:w="2615" w:type="dxa"/>
            <w:tcBorders/>
            <w:vAlign w:val="center"/>
          </w:tcPr>
          <w:p>
            <w:pPr>
              <w:pStyle w:val="TableContents"/>
              <w:bidi w:val="0"/>
              <w:spacing w:before="0" w:after="283"/>
              <w:jc w:val="left"/>
              <w:rPr/>
            </w:pPr>
            <w:r>
              <w:rPr>
                <w:u w:val="single"/>
              </w:rPr>
              <w:t>Shares Sub</w:t>
            </w:r>
            <w:r>
              <w:rPr/>
              <w:t>j</w:t>
            </w:r>
            <w:r>
              <w:rPr>
                <w:u w:val="single"/>
              </w:rPr>
              <w:t>ect to the Plan</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Subject to adjustment in accordance with Section 11, the maximum aggregate number of shares of Common Stock available for issuance under the Plan is 12,500,000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 xml:space="preserve">”).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Common Stock available for distribution under the Plan may consist, in whole or in part, of authorized and unissued shares, treasury shares or shares reacquired by the Company in any manner.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Subject to adjustment in accordance with Section 11, no more than 12,500,000 shares of Common Stock may be issued in the aggregate pursuant to the exercise of Incentive Stock Options (the “</w:t>
      </w:r>
      <w:r>
        <w:rPr>
          <w:rFonts w:ascii="Times New Roman;Times;Serif" w:hAnsi="Times New Roman;Times;Serif"/>
          <w:b/>
          <w:i w:val="false"/>
          <w:caps w:val="false"/>
          <w:smallCaps w:val="false"/>
          <w:sz w:val="20"/>
        </w:rPr>
        <w:t>ISO Limit”</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Times;Serif" w:hAnsi="Times New Roman;Times;Serif"/>
          <w:b/>
          <w:i w:val="false"/>
          <w:caps w:val="false"/>
          <w:smallCaps w:val="false"/>
          <w:sz w:val="20"/>
        </w:rPr>
        <w:t>Substitute Awards</w:t>
      </w:r>
      <w:r>
        <w:rPr>
          <w:rFonts w:ascii="Times New Roman;Times;Serif" w:hAnsi="Times New Roman;Times;Serif"/>
          <w:b w:val="false"/>
          <w:i w:val="false"/>
          <w:caps w:val="false"/>
          <w:smallCaps w:val="false"/>
          <w:sz w:val="20"/>
        </w:rPr>
        <w:t xml:space="preserve">”).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Eligibility for Specific Awards</w:t>
      </w:r>
      <w:r>
        <w:rPr>
          <w:rFonts w:ascii="Times New Roman;Times;Serif" w:hAnsi="Times New Roman;Times;Serif"/>
          <w:b w:val="false"/>
          <w:i w:val="false"/>
          <w:caps w:val="false"/>
          <w:smallCaps w:val="false"/>
          <w:sz w:val="20"/>
        </w:rPr>
        <w:t xml:space="preserve">.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Ten Percent Stockholders</w:t>
      </w:r>
      <w:r>
        <w:rPr>
          <w:rFonts w:ascii="Times New Roman;Times;Serif" w:hAnsi="Times New Roman;Times;Serif"/>
          <w:b w:val="false"/>
          <w:i w:val="false"/>
          <w:caps w:val="false"/>
          <w:smallCaps w:val="false"/>
          <w:sz w:val="20"/>
        </w:rPr>
        <w:t xml:space="preserve">. A Ten Percent Stockholder shall not be granted an Incentive Stock Option unless the Option Exercise Price is at least 110% of the Fair Market Value of the Common Stock on the Grant Date and the Option is not exercisable after the expiration of five years from the Grant Date.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Option Provisions</w:t>
      </w:r>
      <w:r>
        <w:rPr>
          <w:rFonts w:ascii="Times New Roman;Times;Serif" w:hAnsi="Times New Roman;Times;Serif"/>
          <w:b w:val="false"/>
          <w:i w:val="false"/>
          <w:caps w:val="false"/>
          <w:smallCaps w:val="false"/>
          <w:sz w:val="20"/>
        </w:rPr>
        <w:t xml:space="preserve">.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no Non-Qualified Stock Option shall be exercisable after the expiration of 10 years from the Grant Date.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Exercise Price of an Incentive Stock Option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Exercise Price of a Non-Q ualified Stock Option</w:t>
      </w:r>
      <w:r>
        <w:rPr>
          <w:rFonts w:ascii="Times New Roman;Times;Serif" w:hAnsi="Times New Roman;Times;Serif"/>
          <w:b w:val="false"/>
          <w:i w:val="false"/>
          <w:caps w:val="false"/>
          <w:smallCaps w:val="false"/>
          <w:sz w:val="20"/>
        </w:rPr>
        <w:t xml:space="preserve">.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xml:space="preserve">”);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Transferability of an Incentive Stock Option</w:t>
      </w:r>
      <w:r>
        <w:rPr>
          <w:rFonts w:ascii="Times New Roman;Times;Serif" w:hAnsi="Times New Roman;Times;Serif"/>
          <w:b w:val="false"/>
          <w:i w:val="false"/>
          <w:caps w:val="false"/>
          <w:smallCaps w:val="false"/>
          <w:sz w:val="20"/>
        </w:rPr>
        <w:t xml:space="preserve">.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Transferability of a Non-Q ualified Stock Option</w:t>
      </w:r>
      <w:r>
        <w:rPr>
          <w:rFonts w:ascii="Times New Roman;Times;Serif" w:hAnsi="Times New Roman;Times;Serif"/>
          <w:b w:val="false"/>
          <w:i w:val="false"/>
          <w:caps w:val="false"/>
          <w:smallCaps w:val="false"/>
          <w:sz w:val="20"/>
        </w:rPr>
        <w:t xml:space="preserve">.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Vesting of Options</w:t>
      </w:r>
      <w:r>
        <w:rPr>
          <w:rFonts w:ascii="Times New Roman;Times;Serif" w:hAnsi="Times New Roman;Times;Serif"/>
          <w:b w:val="false"/>
          <w:i w:val="false"/>
          <w:caps w:val="false"/>
          <w:smallCaps w:val="false"/>
          <w:sz w:val="20"/>
        </w:rPr>
        <w:t xml:space="preserve">.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Termination of Continuous Service</w:t>
      </w:r>
      <w:r>
        <w:rPr>
          <w:rFonts w:ascii="Times New Roman;Times;Serif" w:hAnsi="Times New Roman;Times;Serif"/>
          <w:b w:val="false"/>
          <w:i w:val="false"/>
          <w:caps w:val="false"/>
          <w:smallCaps w:val="false"/>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Extension of Termination Date</w:t>
      </w:r>
      <w:r>
        <w:rPr>
          <w:rFonts w:ascii="Times New Roman;Times;Serif" w:hAnsi="Times New Roman;Times;Serif"/>
          <w:b w:val="false"/>
          <w:i w:val="false"/>
          <w:caps w:val="false"/>
          <w:smallCaps w:val="false"/>
          <w:sz w:val="20"/>
        </w:rPr>
        <w:t xml:space="preserve">.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Disability of Optionholder</w:t>
      </w:r>
      <w:r>
        <w:rPr>
          <w:rFonts w:ascii="Times New Roman;Times;Serif" w:hAnsi="Times New Roman;Times;Serif"/>
          <w:b w:val="false"/>
          <w:i w:val="false"/>
          <w:caps w:val="false"/>
          <w:smallCaps w:val="false"/>
          <w:sz w:val="20"/>
        </w:rPr>
        <w:t xml:space="preserve">.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Death of Optionholder</w:t>
      </w:r>
      <w:r>
        <w:rPr>
          <w:rFonts w:ascii="Times New Roman;Times;Serif" w:hAnsi="Times New Roman;Times;Serif"/>
          <w:b w:val="false"/>
          <w:i w:val="false"/>
          <w:caps w:val="false"/>
          <w:smallCaps w:val="false"/>
          <w:sz w:val="20"/>
        </w:rPr>
        <w:t xml:space="preserve">.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Incentive Stock Option $100,000 Limitation</w:t>
      </w:r>
      <w:r>
        <w:rPr>
          <w:rFonts w:ascii="Times New Roman;Times;Serif" w:hAnsi="Times New Roman;Times;Serif"/>
          <w:b w:val="false"/>
          <w:i w:val="false"/>
          <w:caps w:val="false"/>
          <w:smallCaps w:val="false"/>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Reload Options</w:t>
      </w:r>
      <w:r>
        <w:rPr>
          <w:rFonts w:ascii="Times New Roman;Times;Serif" w:hAnsi="Times New Roman;Times;Serif"/>
          <w:b w:val="false"/>
          <w:i w:val="false"/>
          <w:caps w:val="false"/>
          <w:smallCaps w:val="false"/>
          <w:sz w:val="20"/>
        </w:rPr>
        <w:t xml:space="preserve">. No Option may include provisions that “reload” the Option upon exercise. </w:t>
      </w:r>
    </w:p>
    <w:p>
      <w:pPr>
        <w:pStyle w:val="TextBody"/>
        <w:bidi w:val="0"/>
        <w:spacing w:before="0" w:after="0"/>
        <w:jc w:val="left"/>
        <w:rPr>
          <w:caps w:val="false"/>
          <w:smallCaps w:val="false"/>
        </w:rPr>
      </w:pPr>
      <w:r>
        <w:rPr>
          <w:caps w:val="false"/>
          <w:smallCaps w:val="false"/>
        </w:rPr>
        <w:t xml:space="preserve">  </w:t>
      </w:r>
    </w:p>
    <w:tbl>
      <w:tblPr>
        <w:tblW w:w="4473" w:type="dxa"/>
        <w:jc w:val="left"/>
        <w:tblInd w:w="0" w:type="dxa"/>
        <w:tblLayout w:type="fixed"/>
        <w:tblCellMar>
          <w:top w:w="0" w:type="dxa"/>
          <w:left w:w="0" w:type="dxa"/>
          <w:bottom w:w="0" w:type="dxa"/>
          <w:right w:w="0" w:type="dxa"/>
        </w:tblCellMar>
      </w:tblPr>
      <w:tblGrid>
        <w:gridCol w:w="38"/>
        <w:gridCol w:w="26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xml:space="preserve">7. </w:t>
            </w:r>
          </w:p>
        </w:tc>
        <w:tc>
          <w:tcPr>
            <w:tcW w:w="4175" w:type="dxa"/>
            <w:tcBorders/>
            <w:vAlign w:val="center"/>
          </w:tcPr>
          <w:p>
            <w:pPr>
              <w:pStyle w:val="TableContents"/>
              <w:bidi w:val="0"/>
              <w:spacing w:before="0" w:after="283"/>
              <w:jc w:val="left"/>
              <w:rPr/>
            </w:pPr>
            <w:r>
              <w:rPr>
                <w:u w:val="single"/>
              </w:rPr>
              <w:t>Provisions of Awards Other Than Options</w:t>
            </w:r>
            <w:r>
              <w:rPr/>
              <w:t xml:space="preserve">. </w:t>
            </w:r>
          </w:p>
        </w:tc>
      </w:tr>
    </w:tbl>
    <w:p>
      <w:pPr>
        <w:pStyle w:val="TextBody"/>
        <w:bidi w:val="0"/>
        <w:spacing w:before="0" w:after="0"/>
        <w:jc w:val="left"/>
        <w:rPr>
          <w:caps w:val="false"/>
          <w:smallCaps w:val="false"/>
        </w:rPr>
      </w:pPr>
      <w:r>
        <w:rPr>
          <w:caps w:val="false"/>
          <w:smallCaps w:val="false"/>
        </w:rPr>
        <w:t xml:space="preserve">  </w:t>
      </w:r>
    </w:p>
    <w:tbl>
      <w:tblPr>
        <w:tblW w:w="3198" w:type="dxa"/>
        <w:jc w:val="left"/>
        <w:tblInd w:w="0" w:type="dxa"/>
        <w:tblLayout w:type="fixed"/>
        <w:tblCellMar>
          <w:top w:w="0" w:type="dxa"/>
          <w:left w:w="0" w:type="dxa"/>
          <w:bottom w:w="0" w:type="dxa"/>
          <w:right w:w="0" w:type="dxa"/>
        </w:tblCellMar>
      </w:tblPr>
      <w:tblGrid>
        <w:gridCol w:w="38"/>
        <w:gridCol w:w="38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 xml:space="preserve">7.1 </w:t>
            </w:r>
          </w:p>
        </w:tc>
        <w:tc>
          <w:tcPr>
            <w:tcW w:w="2780" w:type="dxa"/>
            <w:tcBorders/>
            <w:vAlign w:val="center"/>
          </w:tcPr>
          <w:p>
            <w:pPr>
              <w:pStyle w:val="TableContents"/>
              <w:bidi w:val="0"/>
              <w:spacing w:before="0" w:after="283"/>
              <w:jc w:val="left"/>
              <w:rPr/>
            </w:pPr>
            <w:r>
              <w:rPr>
                <w:u w:val="single"/>
              </w:rPr>
              <w:t>Stock A</w:t>
            </w:r>
            <w:r>
              <w:rPr/>
              <w:t xml:space="preserve">p p </w:t>
            </w:r>
            <w:r>
              <w:rPr>
                <w:u w:val="single"/>
              </w:rPr>
              <w:t>reciation Rights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Each Stock Appreciation Right granted under the Plan shall be evidenced by an Award Agreement. Each Stock Appreciation Right so granted shall be subject to the conditions set forth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and to such other conditions not inconsistent with the Plan as may be reflected in the applicable Award Agreement.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Stock A</w:t>
      </w:r>
      <w:r>
        <w:rPr>
          <w:rFonts w:ascii="Times New Roman;Times;Serif" w:hAnsi="Times New Roman;Times;Serif"/>
          <w:b w:val="false"/>
          <w:i w:val="false"/>
          <w:caps w:val="false"/>
          <w:smallCaps w:val="false"/>
          <w:sz w:val="20"/>
        </w:rPr>
        <w:t xml:space="preserve">p p </w:t>
      </w:r>
      <w:r>
        <w:rPr>
          <w:rFonts w:ascii="Times New Roman;Times;Serif" w:hAnsi="Times New Roman;Times;Serif"/>
          <w:b w:val="false"/>
          <w:i w:val="false"/>
          <w:caps w:val="false"/>
          <w:smallCaps w:val="false"/>
          <w:sz w:val="20"/>
          <w:u w:val="single"/>
        </w:rPr>
        <w:t>reciation Rights</w:t>
      </w:r>
      <w:r>
        <w:rPr>
          <w:rFonts w:ascii="Times New Roman;Times;Serif" w:hAnsi="Times New Roman;Times;Serif"/>
          <w:b w:val="false"/>
          <w:i w:val="false"/>
          <w:caps w:val="false"/>
          <w:smallCaps w:val="false"/>
          <w:sz w:val="20"/>
        </w:rPr>
        <w:t xml:space="preserve">. The term of a Stock Appreciation Right granted under the Plan shall be determined by the Committee;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no Stock Appreciation Right shall be exercisable later than the tenth anniversary of the Grant Date.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Vesting of Stock A</w:t>
      </w:r>
      <w:r>
        <w:rPr>
          <w:rFonts w:ascii="Times New Roman;Times;Serif" w:hAnsi="Times New Roman;Times;Serif"/>
          <w:b w:val="false"/>
          <w:i w:val="false"/>
          <w:caps w:val="false"/>
          <w:smallCaps w:val="false"/>
          <w:sz w:val="20"/>
        </w:rPr>
        <w:t xml:space="preserve">p p </w:t>
      </w:r>
      <w:r>
        <w:rPr>
          <w:rFonts w:ascii="Times New Roman;Times;Serif" w:hAnsi="Times New Roman;Times;Serif"/>
          <w:b w:val="false"/>
          <w:i w:val="false"/>
          <w:caps w:val="false"/>
          <w:smallCaps w:val="false"/>
          <w:sz w:val="20"/>
          <w:u w:val="single"/>
        </w:rPr>
        <w:t>reciation Rights</w:t>
      </w:r>
      <w:r>
        <w:rPr>
          <w:rFonts w:ascii="Times New Roman;Times;Serif" w:hAnsi="Times New Roman;Times;Serif"/>
          <w:b w:val="false"/>
          <w:i w:val="false"/>
          <w:caps w:val="false"/>
          <w:smallCaps w:val="false"/>
          <w:sz w:val="20"/>
        </w:rPr>
        <w:t xml:space="preserve">.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 xml:space="preserve">.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of a Stock Appreciation Right shall be determined by the Committee. </w:t>
      </w:r>
    </w:p>
    <w:p>
      <w:pPr>
        <w:pStyle w:val="TextBody"/>
        <w:bidi w:val="0"/>
        <w:spacing w:before="0" w:after="0"/>
        <w:jc w:val="left"/>
        <w:rPr>
          <w:caps w:val="false"/>
          <w:smallCaps w:val="false"/>
        </w:rPr>
      </w:pPr>
      <w:r>
        <w:rPr>
          <w:caps w:val="false"/>
          <w:smallCaps w:val="false"/>
        </w:rPr>
        <w:t xml:space="preserve">  </w:t>
      </w:r>
    </w:p>
    <w:tbl>
      <w:tblPr>
        <w:tblW w:w="2328" w:type="dxa"/>
        <w:jc w:val="left"/>
        <w:tblInd w:w="0" w:type="dxa"/>
        <w:tblLayout w:type="fixed"/>
        <w:tblCellMar>
          <w:top w:w="0" w:type="dxa"/>
          <w:left w:w="0" w:type="dxa"/>
          <w:bottom w:w="0" w:type="dxa"/>
          <w:right w:w="0" w:type="dxa"/>
        </w:tblCellMar>
      </w:tblPr>
      <w:tblGrid>
        <w:gridCol w:w="38"/>
        <w:gridCol w:w="38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 xml:space="preserve">7.2 </w:t>
            </w:r>
          </w:p>
        </w:tc>
        <w:tc>
          <w:tcPr>
            <w:tcW w:w="1910" w:type="dxa"/>
            <w:tcBorders/>
            <w:vAlign w:val="center"/>
          </w:tcPr>
          <w:p>
            <w:pPr>
              <w:pStyle w:val="TableContents"/>
              <w:bidi w:val="0"/>
              <w:spacing w:before="0" w:after="283"/>
              <w:jc w:val="left"/>
              <w:rPr/>
            </w:pPr>
            <w:r>
              <w:rPr>
                <w:u w:val="single"/>
              </w:rPr>
              <w:t>Restricted Awards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 Restricted Award is an Award of actual Common Stock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or hypothetical Common Stock units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as the Committee shall determine. Each Restricted Award granted under the Plan shall be evidenced by an Award Agreement. Each Restricted Award so granted shall be subject to the conditions set forth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and to such other conditions not inconsistent with the Plan as may be reflected in the applicable Award Agreement.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tbl>
      <w:tblPr>
        <w:tblW w:w="4668" w:type="dxa"/>
        <w:jc w:val="left"/>
        <w:tblInd w:w="0" w:type="dxa"/>
        <w:tblLayout w:type="fixed"/>
        <w:tblCellMar>
          <w:top w:w="0" w:type="dxa"/>
          <w:left w:w="0" w:type="dxa"/>
          <w:bottom w:w="0" w:type="dxa"/>
          <w:right w:w="0" w:type="dxa"/>
        </w:tblCellMar>
      </w:tblPr>
      <w:tblGrid>
        <w:gridCol w:w="38"/>
        <w:gridCol w:w="35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(b) </w:t>
            </w:r>
          </w:p>
        </w:tc>
        <w:tc>
          <w:tcPr>
            <w:tcW w:w="4280" w:type="dxa"/>
            <w:tcBorders/>
            <w:vAlign w:val="center"/>
          </w:tcPr>
          <w:p>
            <w:pPr>
              <w:pStyle w:val="TableContents"/>
              <w:bidi w:val="0"/>
              <w:spacing w:before="0" w:after="283"/>
              <w:jc w:val="left"/>
              <w:rPr/>
            </w:pPr>
            <w:r>
              <w:rPr>
                <w:u w:val="single"/>
              </w:rPr>
              <w:t>Restricted Stock and Restricted Stock Units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Times;Serif" w:hAnsi="Times New Roman;Times;Serif"/>
          <w:b/>
          <w:i/>
          <w:caps w:val="false"/>
          <w:smallCaps w:val="false"/>
          <w:sz w:val="20"/>
        </w:rPr>
        <w:t>Deferred Stock Units</w:t>
      </w:r>
      <w:r>
        <w:rPr>
          <w:rFonts w:ascii="Times New Roman;Times;Serif" w:hAnsi="Times New Roman;Times;Serif"/>
          <w:b w:val="false"/>
          <w:i w:val="false"/>
          <w:caps w:val="false"/>
          <w:smallCaps w:val="false"/>
          <w:sz w:val="20"/>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Times;Serif" w:hAnsi="Times New Roman;Times;Serif"/>
          <w:b/>
          <w:i/>
          <w:caps w:val="false"/>
          <w:smallCaps w:val="false"/>
          <w:sz w:val="20"/>
        </w:rPr>
        <w:t>Dividend Equivalents</w:t>
      </w:r>
      <w:r>
        <w:rPr>
          <w:rFonts w:ascii="Times New Roman;Times;Serif" w:hAnsi="Times New Roman;Times;Serif"/>
          <w:b w:val="false"/>
          <w:i w:val="false"/>
          <w:caps w:val="false"/>
          <w:smallCaps w:val="false"/>
          <w:sz w:val="20"/>
        </w:rPr>
        <w:t xml:space="preserve">”).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 </w:t>
      </w:r>
    </w:p>
    <w:p>
      <w:pPr>
        <w:pStyle w:val="TextBody"/>
        <w:bidi w:val="0"/>
        <w:spacing w:before="0" w:after="0"/>
        <w:jc w:val="left"/>
        <w:rPr>
          <w:caps w:val="false"/>
          <w:smallCaps w:val="false"/>
        </w:rPr>
      </w:pPr>
      <w:r>
        <w:rPr>
          <w:caps w:val="false"/>
          <w:smallCaps w:val="false"/>
        </w:rPr>
        <w:t xml:space="preserve">  </w:t>
      </w:r>
    </w:p>
    <w:tbl>
      <w:tblPr>
        <w:tblW w:w="1638" w:type="dxa"/>
        <w:jc w:val="left"/>
        <w:tblInd w:w="0" w:type="dxa"/>
        <w:tblLayout w:type="fixed"/>
        <w:tblCellMar>
          <w:top w:w="0" w:type="dxa"/>
          <w:left w:w="0" w:type="dxa"/>
          <w:bottom w:w="0" w:type="dxa"/>
          <w:right w:w="0" w:type="dxa"/>
        </w:tblCellMar>
      </w:tblPr>
      <w:tblGrid>
        <w:gridCol w:w="38"/>
        <w:gridCol w:w="33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 xml:space="preserve">(c) </w:t>
            </w:r>
          </w:p>
        </w:tc>
        <w:tc>
          <w:tcPr>
            <w:tcW w:w="1265" w:type="dxa"/>
            <w:tcBorders/>
            <w:vAlign w:val="center"/>
          </w:tcPr>
          <w:p>
            <w:pPr>
              <w:pStyle w:val="TableContents"/>
              <w:bidi w:val="0"/>
              <w:spacing w:before="0" w:after="283"/>
              <w:jc w:val="left"/>
              <w:rPr/>
            </w:pPr>
            <w:r>
              <w:rPr>
                <w:u w:val="single"/>
              </w:rPr>
              <w:t>Restrictions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With respect to Restricted Awards, the Restricted Period shall commence on the Grant Date and end at the time or times set forth on a schedule established by the Committee in the applicable Award Agreement. No Restricted Award may be granted or settled for a fraction of a share.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Restricted Stock and Settlement of Restricted Stock Units</w:t>
      </w:r>
      <w:r>
        <w:rPr>
          <w:rFonts w:ascii="Times New Roman;Times;Serif" w:hAnsi="Times New Roman;Times;Serif"/>
          <w:b w:val="false"/>
          <w:i w:val="false"/>
          <w:caps w:val="false"/>
          <w:smallCaps w:val="false"/>
          <w:sz w:val="20"/>
        </w:rPr>
        <w:t xml:space="preserve">. Upon the expiration of the Restricted Period with respect to any shares of Restricted Stock, the restrictions set forth in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Times;Serif" w:hAnsi="Times New Roman;Times;Serif"/>
          <w:b/>
          <w:i w:val="false"/>
          <w:caps w:val="false"/>
          <w:smallCaps w:val="false"/>
          <w:sz w:val="20"/>
        </w:rPr>
        <w:t>Vested Unit</w:t>
      </w:r>
      <w:r>
        <w:rPr>
          <w:rFonts w:ascii="Times New Roman;Times;Serif" w:hAnsi="Times New Roman;Times;Serif"/>
          <w:b w:val="false"/>
          <w:i w:val="false"/>
          <w:caps w:val="false"/>
          <w:smallCaps w:val="false"/>
          <w:sz w:val="20"/>
        </w:rPr>
        <w:t xml:space="preserve">”) and cash equal to any Dividend Equivalents credited with respect to each such Vested Unit in accordance with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hereof and the interest thereon or, at the discretion of the Committee, in Common Stock having a Fair Market Value equal to such Dividend Equivalents and the interest thereon, if 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Stock Restrictions</w:t>
      </w:r>
      <w:r>
        <w:rPr>
          <w:rFonts w:ascii="Times New Roman;Times;Serif" w:hAnsi="Times New Roman;Times;Serif"/>
          <w:b w:val="false"/>
          <w:i w:val="false"/>
          <w:caps w:val="false"/>
          <w:smallCaps w:val="false"/>
          <w:sz w:val="20"/>
        </w:rPr>
        <w:t xml:space="preserve">. Each certificate representing Restricted Stock awarded under the Plan shall bear a legend in such form as the Company deems appropriate. </w:t>
      </w:r>
    </w:p>
    <w:p>
      <w:pPr>
        <w:pStyle w:val="TextBody"/>
        <w:bidi w:val="0"/>
        <w:spacing w:before="0" w:after="0"/>
        <w:jc w:val="left"/>
        <w:rPr>
          <w:caps w:val="false"/>
          <w:smallCaps w:val="false"/>
        </w:rPr>
      </w:pPr>
      <w:r>
        <w:rPr>
          <w:caps w:val="false"/>
          <w:smallCaps w:val="false"/>
        </w:rPr>
        <w:t xml:space="preserve">  </w:t>
      </w:r>
    </w:p>
    <w:tbl>
      <w:tblPr>
        <w:tblW w:w="3183" w:type="dxa"/>
        <w:jc w:val="left"/>
        <w:tblInd w:w="0" w:type="dxa"/>
        <w:tblLayout w:type="fixed"/>
        <w:tblCellMar>
          <w:top w:w="0" w:type="dxa"/>
          <w:left w:w="0" w:type="dxa"/>
          <w:bottom w:w="0" w:type="dxa"/>
          <w:right w:w="0" w:type="dxa"/>
        </w:tblCellMar>
      </w:tblPr>
      <w:tblGrid>
        <w:gridCol w:w="38"/>
        <w:gridCol w:w="38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 xml:space="preserve">7.3 </w:t>
            </w:r>
          </w:p>
        </w:tc>
        <w:tc>
          <w:tcPr>
            <w:tcW w:w="2765" w:type="dxa"/>
            <w:tcBorders/>
            <w:vAlign w:val="center"/>
          </w:tcPr>
          <w:p>
            <w:pPr>
              <w:pStyle w:val="TableContents"/>
              <w:bidi w:val="0"/>
              <w:spacing w:before="0" w:after="283"/>
              <w:jc w:val="left"/>
              <w:rPr/>
            </w:pPr>
            <w:r>
              <w:rPr>
                <w:u w:val="single"/>
              </w:rPr>
              <w:t>Performance Stock Awards</w:t>
            </w:r>
            <w:r>
              <w:rPr/>
              <w:t xml:space="preserve">. </w:t>
            </w:r>
          </w:p>
        </w:tc>
      </w:tr>
    </w:tbl>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Stock Awards</w:t>
      </w:r>
      <w:r>
        <w:rPr>
          <w:rFonts w:ascii="Times New Roman;Times;Serif" w:hAnsi="Times New Roman;Times;Serif"/>
          <w:b w:val="false"/>
          <w:i w:val="false"/>
          <w:caps w:val="false"/>
          <w:smallCaps w:val="false"/>
          <w:sz w:val="20"/>
        </w:rPr>
        <w:t xml:space="preserve">. Each Performance Stock Award granted under the Plan shall be evidenced by an Award Agreement. Each Performance Stock Award so granted shall be subject to the conditions set forth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and to such other conditions not inconsistent with the Plan as may be reflected in the applicable Award Agreement. The Committee shall have the discretion to determine: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Earning Performance Stock Awards</w:t>
      </w:r>
      <w:r>
        <w:rPr>
          <w:rFonts w:ascii="Times New Roman;Times;Serif" w:hAnsi="Times New Roman;Times;Serif"/>
          <w:b w:val="false"/>
          <w:i w:val="false"/>
          <w:caps w:val="false"/>
          <w:smallCaps w:val="false"/>
          <w:sz w:val="20"/>
        </w:rPr>
        <w:t xml:space="preserve">. The number of shares of Performance Stock earned by a Participant will depend on the extent to which the performance goals established by the Committee are attained within the applicable Performance Period, as determined by the Committee.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Other Equity -Based Awards and Cash Awards</w:t>
      </w:r>
      <w:r>
        <w:rPr>
          <w:rFonts w:ascii="Times New Roman;Times;Serif" w:hAnsi="Times New Roman;Times;Serif"/>
          <w:b w:val="false"/>
          <w:i w:val="false"/>
          <w:caps w:val="false"/>
          <w:smallCaps w:val="false"/>
          <w:sz w:val="20"/>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Securities Law Compliance</w:t>
      </w:r>
      <w:r>
        <w:rPr>
          <w:rFonts w:ascii="Times New Roman;Times;Serif" w:hAnsi="Times New Roman;Times;Serif"/>
          <w:b w:val="false"/>
          <w:i w:val="false"/>
          <w:caps w:val="false"/>
          <w:smallCaps w:val="false"/>
          <w:sz w:val="20"/>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Use of Proceeds from Stock</w:t>
      </w:r>
      <w:r>
        <w:rPr>
          <w:rFonts w:ascii="Times New Roman;Times;Serif" w:hAnsi="Times New Roman;Times;Serif"/>
          <w:b w:val="false"/>
          <w:i w:val="false"/>
          <w:caps w:val="false"/>
          <w:smallCaps w:val="false"/>
          <w:sz w:val="20"/>
        </w:rPr>
        <w:t xml:space="preserve">. Proceeds from the sale of Common Stock pursuant to Awards, or upon exercise thereof, shall constitute general funds of the Company.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Acceleration of Exercisability and Vesting</w:t>
      </w:r>
      <w:r>
        <w:rPr>
          <w:rFonts w:ascii="Times New Roman;Times;Serif" w:hAnsi="Times New Roman;Times;Serif"/>
          <w:b w:val="false"/>
          <w:i w:val="false"/>
          <w:caps w:val="false"/>
          <w:smallCaps w:val="false"/>
          <w:sz w:val="20"/>
        </w:rPr>
        <w:t xml:space="preserve">. Notwithstanding anything herein or in the Award to the contrary, the Committee shall have the power to accelerate the time at which an Award may first be exercised or the time during which an Award or any part thereof will vest.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No Employment or Other Service Rights</w:t>
      </w:r>
      <w:r>
        <w:rPr>
          <w:rFonts w:ascii="Times New Roman;Times;Serif" w:hAnsi="Times New Roman;Times;Serif"/>
          <w:b w:val="false"/>
          <w:i w:val="false"/>
          <w:caps w:val="false"/>
          <w:smallCaps w:val="false"/>
          <w:sz w:val="20"/>
        </w:rPr>
        <w:t xml:space="preserve">.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Transfer; A</w:t>
      </w:r>
      <w:r>
        <w:rPr>
          <w:rFonts w:ascii="Times New Roman;Times;Serif" w:hAnsi="Times New Roman;Times;Serif"/>
          <w:b w:val="false"/>
          <w:i w:val="false"/>
          <w:caps w:val="false"/>
          <w:smallCaps w:val="false"/>
          <w:sz w:val="20"/>
        </w:rPr>
        <w:t xml:space="preserve">p p </w:t>
      </w:r>
      <w:r>
        <w:rPr>
          <w:rFonts w:ascii="Times New Roman;Times;Serif" w:hAnsi="Times New Roman;Times;Serif"/>
          <w:b w:val="false"/>
          <w:i w:val="false"/>
          <w:caps w:val="false"/>
          <w:smallCaps w:val="false"/>
          <w:sz w:val="20"/>
          <w:u w:val="single"/>
        </w:rPr>
        <w:t>roved Leave of Absence</w:t>
      </w:r>
      <w:r>
        <w:rPr>
          <w:rFonts w:ascii="Times New Roman;Times;Serif" w:hAnsi="Times New Roman;Times;Serif"/>
          <w:b w:val="false"/>
          <w:i w:val="false"/>
          <w:caps w:val="false"/>
          <w:smallCaps w:val="false"/>
          <w:sz w:val="20"/>
        </w:rPr>
        <w:t xml:space="preserve">.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Common Stock is withheld for such purpose with a value exceeding the maximum amount of 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w:t>
      </w:r>
      <w:r>
        <w:rPr>
          <w:rFonts w:ascii="Times New Roman;Times;Serif" w:hAnsi="Times New Roman;Times;Serif"/>
          <w:b w:val="false"/>
          <w:i w:val="false"/>
          <w:caps w:val="false"/>
          <w:smallCaps w:val="false"/>
          <w:sz w:val="20"/>
        </w:rPr>
        <w:t>j</w:t>
      </w:r>
      <w:r>
        <w:rPr>
          <w:rFonts w:ascii="Times New Roman;Times;Serif" w:hAnsi="Times New Roman;Times;Serif"/>
          <w:b w:val="false"/>
          <w:i w:val="false"/>
          <w:caps w:val="false"/>
          <w:smallCaps w:val="false"/>
          <w:sz w:val="20"/>
          <w:u w:val="single"/>
        </w:rPr>
        <w:t>ustments Upon Changes in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Effect of Change in Control</w:t>
      </w:r>
      <w:r>
        <w:rPr>
          <w:rFonts w:ascii="Times New Roman;Times;Serif" w:hAnsi="Times New Roman;Times;Serif"/>
          <w:b w:val="false"/>
          <w:i w:val="false"/>
          <w:caps w:val="false"/>
          <w:smallCaps w:val="false"/>
          <w:sz w:val="20"/>
        </w:rPr>
        <w:t xml:space="preserve">.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Amendment of the Plan and Awards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xml:space="preserve">. The Board at any time, and from time to time, may amend or terminate the Plan. However, except as provided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relating to adjustments upon changes in Common Stock and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val="false"/>
          <w:i w:val="false"/>
          <w:caps w:val="false"/>
          <w:smallCaps w:val="false"/>
          <w:sz w:val="20"/>
          <w:u w:val="single"/>
        </w:rPr>
        <w:t>Stockholder A</w:t>
      </w:r>
      <w:r>
        <w:rPr>
          <w:rFonts w:ascii="Times New Roman;Times;Serif" w:hAnsi="Times New Roman;Times;Serif"/>
          <w:b w:val="false"/>
          <w:i w:val="false"/>
          <w:caps w:val="false"/>
          <w:smallCaps w:val="false"/>
          <w:sz w:val="20"/>
        </w:rPr>
        <w:t xml:space="preserve">p p </w:t>
      </w:r>
      <w:r>
        <w:rPr>
          <w:rFonts w:ascii="Times New Roman;Times;Serif" w:hAnsi="Times New Roman;Times;Serif"/>
          <w:b w:val="false"/>
          <w:i w:val="false"/>
          <w:caps w:val="false"/>
          <w:smallCaps w:val="false"/>
          <w:sz w:val="20"/>
          <w:u w:val="single"/>
        </w:rPr>
        <w:t>roval</w:t>
      </w:r>
      <w:r>
        <w:rPr>
          <w:rFonts w:ascii="Times New Roman;Times;Serif" w:hAnsi="Times New Roman;Times;Serif"/>
          <w:b w:val="false"/>
          <w:i w:val="false"/>
          <w:caps w:val="false"/>
          <w:smallCaps w:val="false"/>
          <w:sz w:val="20"/>
        </w:rPr>
        <w:t xml:space="preserve">. The Board may, in its sole discretion, submit any other amendment to the Plan for stockholder approval.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r>
        <w:rPr>
          <w:rFonts w:ascii="Times New Roman;Times;Serif" w:hAnsi="Times New Roman;Times;Serif"/>
          <w:b w:val="false"/>
          <w:i w:val="false"/>
          <w:caps w:val="false"/>
          <w:smallCaps w:val="false"/>
          <w:sz w:val="20"/>
          <w:u w:val="single"/>
        </w:rPr>
        <w:t>Contemplated Amendments</w:t>
      </w:r>
      <w:r>
        <w:rPr>
          <w:rFonts w:ascii="Times New Roman;Times;Serif" w:hAnsi="Times New Roman;Times;Serif"/>
          <w:b w:val="false"/>
          <w:i w:val="false"/>
          <w:caps w:val="false"/>
          <w:smallCaps w:val="false"/>
          <w:sz w:val="20"/>
        </w:rPr>
        <w:t xml:space="preserve">.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13.4                </w:t>
      </w:r>
      <w:r>
        <w:rPr>
          <w:rFonts w:ascii="Times New Roman;Times;Serif" w:hAnsi="Times New Roman;Times;Serif"/>
          <w:b w:val="false"/>
          <w:i w:val="false"/>
          <w:caps w:val="false"/>
          <w:smallCaps w:val="false"/>
          <w:sz w:val="20"/>
          <w:u w:val="single"/>
        </w:rPr>
        <w:t>No Impairment of Rights</w:t>
      </w:r>
      <w:r>
        <w:rPr>
          <w:rFonts w:ascii="Times New Roman;Times;Serif" w:hAnsi="Times New Roman;Times;Serif"/>
          <w:b w:val="false"/>
          <w:i w:val="false"/>
          <w:caps w:val="false"/>
          <w:smallCaps w:val="false"/>
          <w:sz w:val="20"/>
        </w:rPr>
        <w:t xml:space="preserve">. Rights under any Award granted before amendment of the Plan shall not be impaired by any amendment of the Plan unless (a) the Company requests the consent of the Participant and (b) the Participant consents in writing.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13.5            </w:t>
      </w:r>
      <w:r>
        <w:rPr>
          <w:rFonts w:ascii="Times New Roman;Times;Serif" w:hAnsi="Times New Roman;Times;Serif"/>
          <w:b w:val="false"/>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at any time, and from time to time, may amend the terms of any one or more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Committee may not make any amendment which would otherwise constitute an impairment of the rights of a Participant under any Award unless the Participant consents in writing.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xml:space="preserve">.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xml:space="preserve">).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xml:space="preserve">. Nothing contained in this Plan shall prevent the Board from adopting other or additional compensation arrangements, subject to stockholder approval if such approval is required; and such arrangements may be either generally applicable or applicable only in specific cases.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            </w:t>
      </w:r>
      <w:r>
        <w:rPr>
          <w:rFonts w:ascii="Times New Roman;Times;Serif" w:hAnsi="Times New Roman;Times;Serif"/>
          <w:b w:val="false"/>
          <w:i w:val="false"/>
          <w:caps w:val="false"/>
          <w:smallCaps w:val="false"/>
          <w:sz w:val="20"/>
          <w:u w:val="single"/>
        </w:rPr>
        <w:t>Sub-Plans</w:t>
      </w:r>
      <w:r>
        <w:rPr>
          <w:rFonts w:ascii="Times New Roman;Times;Serif" w:hAnsi="Times New Roman;Times;Serif"/>
          <w:b w:val="false"/>
          <w:i w:val="false"/>
          <w:caps w:val="false"/>
          <w:smallCaps w:val="false"/>
          <w:sz w:val="20"/>
        </w:rPr>
        <w:t xml:space="preserve">.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14.5            </w:t>
      </w:r>
      <w:r>
        <w:rPr>
          <w:rFonts w:ascii="Times New Roman;Times;Serif" w:hAnsi="Times New Roman;Times;Serif"/>
          <w:b w:val="false"/>
          <w:i w:val="false"/>
          <w:caps w:val="false"/>
          <w:smallCaps w:val="false"/>
          <w:sz w:val="20"/>
          <w:u w:val="single"/>
        </w:rPr>
        <w:t>Deferral of Awards</w:t>
      </w:r>
      <w:r>
        <w:rPr>
          <w:rFonts w:ascii="Times New Roman;Times;Serif" w:hAnsi="Times New Roman;Times;Serif"/>
          <w:b w:val="false"/>
          <w:i w:val="false"/>
          <w:caps w:val="false"/>
          <w:smallCaps w:val="false"/>
          <w:sz w:val="20"/>
        </w:rPr>
        <w:t xml:space="preserve">.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any such deferral program.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14.6            </w:t>
      </w:r>
      <w:r>
        <w:rPr>
          <w:rFonts w:ascii="Times New Roman;Times;Serif" w:hAnsi="Times New Roman;Times;Serif"/>
          <w:b w:val="false"/>
          <w:i w:val="false"/>
          <w:caps w:val="false"/>
          <w:smallCaps w:val="false"/>
          <w:sz w:val="20"/>
          <w:u w:val="single"/>
        </w:rPr>
        <w:t>Unfunded Plan</w:t>
      </w:r>
      <w:r>
        <w:rPr>
          <w:rFonts w:ascii="Times New Roman;Times;Serif" w:hAnsi="Times New Roman;Times;Serif"/>
          <w:b w:val="false"/>
          <w:i w:val="false"/>
          <w:caps w:val="false"/>
          <w:smallCaps w:val="false"/>
          <w:sz w:val="20"/>
        </w:rPr>
        <w:t xml:space="preserve">. The Plan shall be unfunded. Neither the Company, the Board nor the Committee shall be required to establish any special or separate fund or to segregate any assets to assure the performance of its obligations under the Plan.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            </w:t>
      </w:r>
      <w:r>
        <w:rPr>
          <w:rFonts w:ascii="Times New Roman;Times;Serif" w:hAnsi="Times New Roman;Times;Serif"/>
          <w:b w:val="false"/>
          <w:i w:val="false"/>
          <w:caps w:val="false"/>
          <w:smallCaps w:val="false"/>
          <w:sz w:val="20"/>
          <w:u w:val="single"/>
        </w:rPr>
        <w:t>Recapitalizations</w:t>
      </w:r>
      <w:r>
        <w:rPr>
          <w:rFonts w:ascii="Times New Roman;Times;Serif" w:hAnsi="Times New Roman;Times;Serif"/>
          <w:b w:val="false"/>
          <w:i w:val="false"/>
          <w:caps w:val="false"/>
          <w:smallCaps w:val="false"/>
          <w:sz w:val="20"/>
        </w:rPr>
        <w:t xml:space="preserve">. Each Award Agreement may contain provisions to reflect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14.8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xml:space="preserve">.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14.9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14.10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xml:space="preserve">. The Award Agreements authorized under the Plan may contain such other provisions not inconsistent with this Plan, including, without limitation, restrictions upon the exercise of Awards, as the Committee may deem advisable.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14.11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14.12          </w:t>
      </w: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Times;Serif" w:hAnsi="Times New Roman;Times;Serif"/>
          <w:b/>
          <w:i w:val="false"/>
          <w:caps w:val="false"/>
          <w:smallCaps w:val="false"/>
          <w:sz w:val="20"/>
        </w:rPr>
        <w:t>Disqualifying Disposition</w:t>
      </w:r>
      <w:r>
        <w:rPr>
          <w:rFonts w:ascii="Times New Roman;Times;Serif" w:hAnsi="Times New Roman;Times;Serif"/>
          <w:b w:val="false"/>
          <w:i w:val="false"/>
          <w:caps w:val="false"/>
          <w:smallCaps w:val="false"/>
          <w:sz w:val="20"/>
        </w:rPr>
        <w:t xml:space="preserve">”) shall be required to immediately advise the Company in writing as to the occurrence of the sale and the price realized upon the sale of such Common Stock.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14.13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such provision to the extent possible shall be interpreted and/or deemed amended so as to avoid such conflict.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14.14          </w:t>
      </w:r>
      <w:r>
        <w:rPr>
          <w:rFonts w:ascii="Times New Roman;Times;Serif" w:hAnsi="Times New Roman;Times;Serif"/>
          <w:b w:val="false"/>
          <w:i w:val="false"/>
          <w:caps w:val="false"/>
          <w:smallCaps w:val="false"/>
          <w:sz w:val="20"/>
          <w:u w:val="single"/>
        </w:rPr>
        <w:t>Beneficiary Designation</w:t>
      </w:r>
      <w:r>
        <w:rPr>
          <w:rFonts w:ascii="Times New Roman;Times;Serif" w:hAnsi="Times New Roman;Times;Serif"/>
          <w:b w:val="false"/>
          <w:i w:val="false"/>
          <w:caps w:val="false"/>
          <w:smallCaps w:val="false"/>
          <w:sz w:val="20"/>
        </w:rPr>
        <w:t xml:space="preserve">.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14.15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costs of administering the Plan shall be paid by the Company. </w:t>
      </w:r>
    </w:p>
    <w:p>
      <w:pPr>
        <w:pStyle w:val="TextBody"/>
        <w:bidi w:val="0"/>
        <w:spacing w:before="0" w:after="0"/>
        <w:ind w:left="0" w:right="0" w:firstLine="398"/>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14.17          </w:t>
      </w:r>
      <w:r>
        <w:rPr>
          <w:rFonts w:ascii="Times New Roman;Times;Serif" w:hAnsi="Times New Roman;Times;Serif"/>
          <w:b w:val="false"/>
          <w:i w:val="false"/>
          <w:caps w:val="false"/>
          <w:smallCaps w:val="false"/>
          <w:sz w:val="20"/>
          <w:u w:val="single"/>
        </w:rPr>
        <w:t>Plan Headin</w:t>
      </w:r>
      <w:r>
        <w:rPr>
          <w:rFonts w:ascii="Times New Roman;Times;Serif" w:hAnsi="Times New Roman;Times;Serif"/>
          <w:b w:val="false"/>
          <w:i w:val="false"/>
          <w:caps w:val="false"/>
          <w:smallCaps w:val="false"/>
          <w:sz w:val="20"/>
        </w:rPr>
        <w:t xml:space="preserve">gs. The headings in the Plan are for purposes of convenience only and are not intended to define or limit the construction of the provisions hereof.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14.18          </w:t>
      </w:r>
      <w:r>
        <w:rPr>
          <w:rFonts w:ascii="Times New Roman;Times;Serif" w:hAnsi="Times New Roman;Times;Serif"/>
          <w:b w:val="false"/>
          <w:i w:val="false"/>
          <w:caps w:val="false"/>
          <w:smallCaps w:val="false"/>
          <w:sz w:val="20"/>
          <w:u w:val="single"/>
        </w:rPr>
        <w:t>Non-Uniform Treatment</w:t>
      </w:r>
      <w:r>
        <w:rPr>
          <w:rFonts w:ascii="Times New Roman;Times;Serif" w:hAnsi="Times New Roman;Times;Serif"/>
          <w:b w:val="false"/>
          <w:i w:val="false"/>
          <w:caps w:val="false"/>
          <w:smallCaps w:val="false"/>
          <w:sz w:val="20"/>
        </w:rPr>
        <w:t xml:space="preserve">.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Effective Date of Plan</w:t>
      </w:r>
      <w:r>
        <w:rPr>
          <w:rFonts w:ascii="Times New Roman;Times;Serif" w:hAnsi="Times New Roman;Times;Serif"/>
          <w:b w:val="false"/>
          <w:i w:val="false"/>
          <w:caps w:val="false"/>
          <w:smallCaps w:val="false"/>
          <w:sz w:val="20"/>
        </w:rPr>
        <w:t xml:space="preserve">.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Termination or Suspension of the Plan</w:t>
      </w:r>
      <w:r>
        <w:rPr>
          <w:rFonts w:ascii="Times New Roman;Times;Serif" w:hAnsi="Times New Roman;Times;Serif"/>
          <w:b w:val="false"/>
          <w:i w:val="false"/>
          <w:caps w:val="false"/>
          <w:smallCaps w:val="false"/>
          <w:sz w:val="20"/>
        </w:rPr>
        <w:t xml:space="preserve">.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xml:space="preserve">. The law of the State of Delaware shall govern all questions concerning the construction, validity and interpretation of this Plan, without regard to such state’s conflict of law rules.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4" w:right="0" w:hanging="0"/>
        <w:jc w:val="center"/>
        <w:rPr>
          <w:caps w:val="false"/>
          <w:smallCaps w:val="false"/>
        </w:rPr>
      </w:pPr>
      <w:r>
        <w:rPr>
          <w:caps w:val="false"/>
          <w:smallCaps w:val="false"/>
        </w:rPr>
        <w:t xml:space="preserve">  </w:t>
      </w:r>
    </w:p>
    <w:p>
      <w:pPr>
        <w:pStyle w:val="TextBody"/>
        <w:bidi w:val="0"/>
        <w:spacing w:before="0" w:after="0"/>
        <w:ind w:left="4" w:right="0" w:hanging="0"/>
        <w:jc w:val="center"/>
        <w:rPr>
          <w:rFonts w:ascii="Times New Roman;Times;Serif" w:hAnsi="Times New Roman;Times;Serif"/>
          <w:b/>
          <w:i w:val="false"/>
          <w:caps w:val="false"/>
          <w:smallCaps w:val="false"/>
          <w:sz w:val="20"/>
        </w:rPr>
      </w:pPr>
      <w:bookmarkStart w:id="93" w:name="aneg_002"/>
      <w:bookmarkEnd w:id="93"/>
      <w:r>
        <w:rPr>
          <w:rFonts w:ascii="Times New Roman;Times;Serif" w:hAnsi="Times New Roman;Times;Serif"/>
          <w:b/>
          <w:i w:val="false"/>
          <w:caps w:val="false"/>
          <w:smallCaps w:val="false"/>
          <w:sz w:val="20"/>
        </w:rPr>
        <w:t xml:space="preserve">AMENDMENT TO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XWELL, INC. 2020 EQUITY INCENTIVE PLAN</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XWELL, INC. 2020 EQUITY INCENTIVE PLAN (as amended October 4, 2022)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effective as of October 6, 2026, is made and entered into by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Terms used in this Amendment with initial capital letters that are not otherwise defined herein shall have the meanings ascribed to such terms in the XWELL, Inc. 2020 Equity Incentive Plan (as amended October 4, 2022)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RECITALS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sponsors and maintains the Plan in order to attract and retain the services of key employees, consultants, and outside directors of the Company and its affiliates;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13 of the Plan provides that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may amend the Plan at any time, and from time to time, provided that no amendment shall be effective unless approved by the stockholders of the Company to the extent stockholder approval is necessary to satisfy applicable laws;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upon the adoption of the Plan, subject to adjustment, the Company initially reserved a maximum aggregate number of 5,000,000 shares of Common of Stock available for issuance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an amendment to the Plan effective October 4, 2022, subject to adjustment, the Company increased the maximum aggregate number of shares of Common Stock available for issuance under the Plan by 7,500,000 shares resulting in a maximum aggregate amount of 12,500,000 shares available for issuance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on September 28, 2023, the Company effected a 1-for-20 reverse stock split of its issued and outstanding shares of Common Stock that, after giving effect to the reverse stock split and other adjustments, there was a maximum aggregate number of 625,000 shares of Common Stock available for issuance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an amendment to the Plan effective February 13, 2025, subject to adjustment, the Company increased the maximum aggregate number of shares of Common Stock available for issuance under the Plan by 2,500,000 shares resulting in a maximum aggregate amount of 3,125,000 shares available for issuance under the Plan (on a post-split basis);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desires to amend the Plan to increase the maximum aggregate number of shares of Common Stock available for issuance under the Plan by an additional 1,221,134 shares of Common Stock resulting in a maximum aggregate amount of 4,346,134 shares available for issuance under the Plan (on a post-split basis); and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intends to submit this Amendment to the Company’s stockholders for their approval in accordance with Section 13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accordance with Section 13 of the Plan, and subject to the approval of the Company’s stockholders, the Company hereby amends the Plan, effective as of the date hereof, as follows: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Section 4.1 of the Plan is hereby amended by deleting the first sentence and substituting in lieu thereof the following new sentence: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Subject to adjustment in accordance with Section 11, the maximum aggregate number of shares of Common Stock available for issuance under the Plan is 4,346,134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Section 4.3 of the Plan is hereby amended by deleting said section in its entirety and substituting in lieu thereof the following new Section 4.3: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Subject to adjustment in accordance with Section 11, no more than 4,346,134 shares of Common Stock may be issued in the aggregate pursuant to the exercise of Incentive Stock Options (the “</w:t>
      </w:r>
      <w:r>
        <w:rPr>
          <w:rFonts w:ascii="Times New Roman;Times;Serif" w:hAnsi="Times New Roman;Times;Serif"/>
          <w:b/>
          <w:i w:val="false"/>
          <w:caps w:val="false"/>
          <w:smallCaps w:val="false"/>
          <w:sz w:val="20"/>
        </w:rPr>
        <w:t>ISO Limit”</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This Amendment shall be effective on the date first set forth above. In the event stockholder approval of this Amendment is not obtained within twelve (12) months of the date the Board approved this Amendment, the additional shares added to the Plan pursuant to this Amendment shall not be available for grant as Incentive Stock Options.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Except as expressly amended by this Amendment, the Plan shall continue in full force and effect in accordance with the provisions thereof.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Company has caused this Amendment to be duly executed as of the date first written above. </w:t>
      </w:r>
    </w:p>
    <w:p>
      <w:pPr>
        <w:pStyle w:val="TextBody"/>
        <w:bidi w:val="0"/>
        <w:spacing w:before="0" w:after="0"/>
        <w:jc w:val="left"/>
        <w:rPr>
          <w:caps w:val="false"/>
          <w:smallCaps w:val="false"/>
        </w:rPr>
      </w:pPr>
      <w:r>
        <w:rPr>
          <w:caps w:val="false"/>
          <w:smallCaps w:val="false"/>
        </w:rPr>
        <w:t xml:space="preserve">  </w:t>
      </w:r>
    </w:p>
    <w:tbl>
      <w:tblPr>
        <w:tblW w:w="2725" w:type="dxa"/>
        <w:jc w:val="left"/>
        <w:tblInd w:w="0" w:type="dxa"/>
        <w:tblLayout w:type="fixed"/>
        <w:tblCellMar>
          <w:top w:w="0" w:type="dxa"/>
          <w:left w:w="0" w:type="dxa"/>
          <w:bottom w:w="0" w:type="dxa"/>
          <w:right w:w="0" w:type="dxa"/>
        </w:tblCellMar>
      </w:tblPr>
      <w:tblGrid>
        <w:gridCol w:w="135"/>
        <w:gridCol w:w="590"/>
        <w:gridCol w:w="2000"/>
      </w:tblGrid>
      <w:tr>
        <w:trPr/>
        <w:tc>
          <w:tcPr>
            <w:tcW w:w="135" w:type="dxa"/>
            <w:tcBorders/>
            <w:vAlign w:val="center"/>
          </w:tcPr>
          <w:p>
            <w:pPr>
              <w:pStyle w:val="TableContents"/>
              <w:bidi w:val="0"/>
              <w:spacing w:before="0" w:after="283"/>
              <w:jc w:val="left"/>
              <w:rPr/>
            </w:pPr>
            <w:r>
              <w:rPr/>
              <w:t xml:space="preserve">  </w:t>
            </w:r>
          </w:p>
        </w:tc>
        <w:tc>
          <w:tcPr>
            <w:tcW w:w="25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XWELL, INC. </w:t>
            </w:r>
          </w:p>
        </w:tc>
      </w:tr>
      <w:tr>
        <w:trPr/>
        <w:tc>
          <w:tcPr>
            <w:tcW w:w="135" w:type="dxa"/>
            <w:tcBorders/>
            <w:vAlign w:val="center"/>
          </w:tcPr>
          <w:p>
            <w:pPr>
              <w:pStyle w:val="TableContents"/>
              <w:bidi w:val="0"/>
              <w:spacing w:before="0" w:after="283"/>
              <w:jc w:val="left"/>
              <w:rPr/>
            </w:pPr>
            <w:r>
              <w:rPr/>
              <w:t xml:space="preserve">  </w:t>
            </w:r>
          </w:p>
        </w:tc>
        <w:tc>
          <w:tcPr>
            <w:tcW w:w="2590" w:type="dxa"/>
            <w:gridSpan w:val="2"/>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Ezra Ernst </w:t>
            </w:r>
          </w:p>
        </w:tc>
      </w:tr>
      <w:tr>
        <w:trPr/>
        <w:tc>
          <w:tcPr>
            <w:tcW w:w="135" w:type="dxa"/>
            <w:tcBorders/>
            <w:vAlign w:val="center"/>
          </w:tcPr>
          <w:p>
            <w:pPr>
              <w:pStyle w:val="TableContents"/>
              <w:bidi w:val="0"/>
              <w:spacing w:before="0" w:after="283"/>
              <w:jc w:val="left"/>
              <w:rPr/>
            </w:pPr>
            <w:r>
              <w:rPr/>
              <w:t xml:space="preserve">  </w:t>
            </w:r>
          </w:p>
        </w:tc>
        <w:tc>
          <w:tcPr>
            <w:tcW w:w="5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283"/>
        <w:jc w:val="left"/>
        <w:rPr/>
      </w:pPr>
      <w:r>
        <w:rPr/>
        <w:t xml:space="preserv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gif"/><Relationship Id="rId8" Type="http://schemas.openxmlformats.org/officeDocument/2006/relationships/image" Target="media/image5.gif"/><Relationship Id="rId9" Type="http://schemas.openxmlformats.org/officeDocument/2006/relationships/image" Target="media/image5.gif"/><Relationship Id="rId10" Type="http://schemas.openxmlformats.org/officeDocument/2006/relationships/image" Target="media/image5.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186627</Words>
  <Characters>998405</Characters>
  <CharactersWithSpaces>1211590</CharactersWithSpaces>
  <Paragraphs>27538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