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XWELL</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Ventures LLC</w:t>
              <w:br/>
              <w:t>Series XXIV XWELL, 3835 PGA Blvd., Suite 103</w:t>
              <w:br/>
              <w:t>Palm Beach Gardens, FL, 33410</w:t>
              <w:br/>
              <w:t>917.608.7234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American Ventures LLC, Series XXIV XWELL</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993,617.00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993,617.00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993,617.00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9.975 %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American Ventures LLC, Series XXIV XWELL, directly owns 993,617 shares of common stock, 30,866 Series H Convertible Preferred Stock, convertible into 65,713,478 shares of the Issuer's common stock, and 66,666,669 warrants, exercisable into 66,666,669 shares of the Issuer's common stock. Dominari Holdings Inc. directly owns 5,248,000 warrants, exercisable into 5,248,000 shares of the Issuer's common stock. The Series H Convertible Preferred Stock has no voting rights. Further, the Series H Convertible Preferred Stock and the warrants each contain provisions that prohibit conversion or exercise to the extent that, after giving effect to such conversion or exercise, that holder and its affiliates would beneficially own more than 4.99% (unless increased to 9.99% by the holder)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As of September 8, 2026, the Reporting Persons converted 467 shares of Series H Convertible Preferred Stock into 993,617 shares of the Issuer's common stock. The Reporting Persons disclaim beneficial ownership of any additional shares of 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9,960,883 shares of the Issuer's common stock issued and outstanding as reported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American Ventures Management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993,617.00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993,617.00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993,617.00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9.975 %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American Ventures LLC, Series XXIV XWELL, directly owns 993,617 shares of common stock, 30,866 Series H Convertible Preferred Stock, convertible into 65,713,478 shares of the Issuer's common stock, and 66,666,669 warrants, exercisable into 66,666,669 shares of the Issuer's common stock. Dominari Holdings Inc. directly owns 5,248,000 warrants, exercisable into 5,248,000 shares of the Issuer's common stock. The Series H Convertible Preferred Stock has no voting rights. Further, the Series H Convertible Preferred Stock and the warrants each contain provisions that prohibit conversion or exercise to the extent that, after giving effect to such conversion or exercise, that holder and its affiliates would beneficially own more than 4.99% (unless increased to 9.99% by the holder)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As of September 8, 2026, the Reporting Persons converted 467 shares of Series H Convertible Preferred Stock into 993,617 shares of the Issuer's common stock. The Reporting Persons disclaim beneficial ownership of any additional shares of 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9,960,883 shares of the Issuer's common stock issued and outstanding as reported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American Ventures IM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993,617.00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993,617.00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993,617.00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9.975 %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American Ventures LLC, Series XXIV XWELL, directly owns 993,617 shares of common stock, 30,866 Series H Convertible Preferred Stock, convertible into 65,713,478 shares of the Issuer's common stock, and 66,666,669 warrants, exercisable into 66,666,669 shares of the Issuer's common stock. Dominari Holdings Inc. directly owns 5,248,000 warrants, exercisable into 5,248,000 shares of the Issuer's common stock. The Series H Convertible Preferred Stock has no voting rights. Further, the Series H Convertible Preferred Stock and the warrants each contain provisions that prohibit conversion or exercise to the extent that, after giving effect to such conversion or exercise, that holder and its affiliates would beneficially own more than 4.99% (unless increased to 9.99% by the holder)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As of September 8, 2026, the Reporting Persons converted 467 shares of Series H Convertible Preferred Stock into 993,617 shares of the Issuer's common stock. The Reporting Persons disclaim beneficial ownership of any additional shares of 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9,960,883 shares of the Issuer's common stock issued and outstanding as reported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Dominari Holdings Inc.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993,617.00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993,617.00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993,617.00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9.975 %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American Ventures LLC, Series XXIV XWELL, directly owns 993,617 shares of common stock, 30,866 Series H Convertible Preferred Stock, convertible into 65,713,478 shares of the Issuer's common stock, and 66,666,669 warrants, exercisable into 66,666,669 shares of the Issuer's common stock. Dominari Holdings Inc. directly owns 5,248,000 warrants, exercisable into 5,248,000 shares of the Issuer's common stock. The Series H Convertible Preferred Stock has no voting rights. Further, the Series H Convertible Preferred Stock and the warrants each contain provisions that prohibit conversion or exercise to the extent that, after giving effect to such conversion or exercise, that holder and its affiliates would beneficially own more than 4.99% (unless increased to 9.99% by the holder)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As of September 8, 2026, the Reporting Persons converted 467 shares of Series H Convertible Preferred Stock into 993,617 shares of the Issuer's common stock. The Reporting Persons disclaim beneficial ownership of any additional shares of 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9,960,883 shares of the Issuer's common stock issued and outstanding as reported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Eric Newman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993,617.00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993,617.00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993,617.00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9.975 %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American Ventures LLC, Series XXIV XWELL, directly owns 993,617 shares of common stock, 30,866 Series H Convertible Preferred Stock, convertible into 65,713,478 shares of the Issuer's common stock, and 66,666,669 warrants, exercisable into 66,666,669 shares of the Issuer's common stock. Dominari Holdings Inc. directly owns 5,248,000 warrants, exercisable into 5,248,000 shares of the Issuer's common stock. The Series H Convertible Preferred Stock has no voting rights. Further, the Series H Convertible Preferred Stock and the warrants each contain provisions that prohibit conversion or exercise to the extent that, after giving effect to such conversion or exercise, that holder and its affiliates would beneficially own more than 4.99% (unless increased to 9.99% by the holder)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As of September 8, 2026, the Reporting Persons converted 467 shares of Series H Convertible Preferred Stock into 993,617 shares of the Issuer's common stock. The Reporting Persons disclaim beneficial ownership of any additional shares of 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9,960,883 shares of the Issuer's common stock issued and outstanding as reported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Anthony Hayes</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993,617.00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993,617.00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993,617.00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9.975 %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American Ventures LLC, Series XXIV XWELL, directly owns 993,617 shares of common stock, 30,866 Series H Convertible Preferred Stock, convertible into 65,713,478 shares of the Issuer's common stock, and 66,666,669 warrants, exercisable into 66,666,669 shares of the Issuer's common stock. Dominari Holdings Inc. directly owns 5,248,000 warrants, exercisable into 5,248,000 shares of the Issuer's common stock. The Series H Convertible Preferred Stock has no voting rights. Further, the Series H Convertible Preferred Stock and the warrants each contain provisions that prohibit conversion or exercise to the extent that, after giving effect to such conversion or exercise, that holder and its affiliates would beneficially own more than 4.99% (unless increased to 9.99% by the holder)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As of September 8, 2026, the Reporting Persons converted 467 shares of Series H Convertible Preferred Stock into 993,617 shares of the Issuer's common stock. The Reporting Persons disclaim beneficial ownership of any additional shares of 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9,960,883 shares of the Issuer's common stock issued and outstanding as reported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XWELL</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254 West 31st Street, 11th Floor, New York, NEW YORK , 10001.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amends and supplements the Schedule 13D filed with the Securities and Exchange Commission on March 18, 2026 (the "Original Schedule 13D"). Except as specifically amended and supplemented herein, the Original Schedule 13D remains in full force and effect.</w:t>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0"/>
              <w:jc w:val="left"/>
              <w:rPr/>
            </w:pPr>
            <w:r>
              <w:rPr/>
              <w:t>American Ventures LLC, Series XXIV XWELL ("Series XXIV XWELL"), a Delaware series limited liability company, directly owns 993,617 shares of common stock, 30,866 shares of Series H Convertible Preferred Stock convertible into 65,713,478 shares of the Issuer's common stock and 66,666,669 warrants exercisable into 66,666,669 shares of the Issuer's common stock, both subject to the Beneficial Ownership Limitation. Dominari Holdings Inc. ("DOMH"), a Delaware corporation, directly owns 5,248,000 warrants exercisable into 5,248,000 shares of the Issuer's common stock subject to the Beneficial Ownership Limitation. American Ventures Management LLC ("AV Management"), a Delaware limited liability company, is the manager of Series XXIV XWELL. American Ventures IM LLC ("AV IM"), a Delaware limited liability company, is the investment manager of Series XXIV XWELL. DOMH is the majority member of AV Management and AV IM that controls the voting power and dispositive power over securities of the Issuer held by entities managed or controlled by AV Management and/or AV IM. Eric Newman ("Mr. Newman") is the manager of both AV Management and AV IM. Anthony Hayes ("Mr. Hayes") is the Chief Executive Officer, a director and Chairman of the board of directors of DOMH. AV Management, AV IM, DOMH, Mr. Newman and Mr. Hayes share voting and dispositive power over the securities held by Series XXIV XWELL. As a result, each of AV Management, AV IM, DOMH, Mr. Newman, and Mr. Hayes may be deemed to indirectly beneficially own the securities held by Series XXIV XWELL. Each of AV Management, AV IM, DOMH, Mr. Newman, and Mr. Hayes disclaim beneficial ownership over any securities held by the Series XXIV XWELL other than to the extent of its/his respective pecuniary interest therein, directly or indirectly. Mr. Hayes has voting and dispositive power over the securities held by DOMH and disclaims beneficial ownership over any securities held by DOMH other than to the extent of its/his respective pecuniary interest therein, directly or indirectly. Series XXIV XWELL, DOMH, AV Management, AV IM, Mr. Newman, and Mr. Hayes are the reporting persons in this Schedule 13D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0"/>
              <w:jc w:val="left"/>
              <w:rPr/>
            </w:pPr>
            <w:r>
              <w:rPr/>
              <w:t>AV Management, Series XXIV XWELL, AV IM, and Mr. Newman have a principal business office at 3835 PGA Blvd., Suite 103, Palm Beach Gardens, Florida 33410. DOMH and Mr. Hayes have a principal business office at 725 Fifth Avenue, 22nd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0"/>
              <w:jc w:val="left"/>
              <w:rPr/>
            </w:pPr>
            <w:r>
              <w:rPr/>
              <w:t>The principal business of Series XXIV XWELL, AV Management, and AV IM is private investments. The principal business of DOMH is wealth management, investment banking, sales and trading, and asset management. The principal employment of Messrs. Hayes and Newman are set forth in Item 2(a) above.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0"/>
              <w:jc w:val="left"/>
              <w:rPr/>
            </w:pPr>
            <w:r>
              <w:rPr/>
              <w:t>No Reporting Person has,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0"/>
              <w:jc w:val="left"/>
              <w:rPr/>
            </w:pPr>
            <w:r>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0"/>
              <w:jc w:val="left"/>
              <w:rPr/>
            </w:pPr>
            <w:r>
              <w:rPr/>
              <w:t>Series XXIV XWELL, DOMH, AV Management, and AV IM are organized under the laws of the State of Delaware. Mr. Newman and Mr. Hayes are citizens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Series XXIV XWELL purchased its securities of the Issuer using funds it raised in a private offering of non-voting membership interests in reliance on the exemption provided by Regulation D, Rule 506(b) under the Securities Act of 1933. No funds used for such purchases were borrowed. DOMH did not use any funds to acquire the 5,248,000 warrants reported herein. DOMH received the 5,248,000 warrants to purchase 5,248,000 shares of the Issuer's common stock as compensation for services rendered to the Issuer in connection with acting as placement agent for a securities offering conducted by the Issuer. No additional funds or other consideration were paid in connection with the conversion of 467 shares of Series H Convertible Preferred Stock into 993,617 shares of common stock on September 8, 2026. The conversion was effected pursuant to the terms of the Certificate of Designation at a conversion price of $0.47 per share of common stock (stated value of $1,000 per share of Series H Convertible Preferred Stock divided by the conversion price of $0.47).</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The Reporting Persons acquired the securities described herein for investment purposes. The Reporting Persons may engage in discussions with the Issuer's management, board of directors, stockholders, and other interested parties concerning potential strategic transactions, including possible merger and acquisition opportunities. The Reporting Persons may from time to time make introductions or otherwise facilitate discussions between the Issuer and third parties regarding such potential opportunities. The Reporting Persons are in discussions with third parties that may result in one of the actions described in Item 4(a)-(j) above, however there are currently no definitive agreements to undertake such actions. Additionally, the Reporting Persons may continue to review and consider other opportunities that may present themselves from time to time, depending on various factors, including the Issuer's financial position, the price level of the securities, conditions in the securities markets, general economic and industry conditions, or other factors. On July 7, 2026, the Reporting Persons delivered notice to the Issuer to increase the Beneficial Ownership Limitation applicable to the Series H Convertible Preferred Stock from 4.99% to 9.99%, effective on the 61st day following delivery of such notice (September 7, 2026). On September 8, 2026, the Reporting Persons converted 467 shares of Series H Convertible Preferred Stock into 993,617 shares of the Issuer's common stock, resulting in the Reporting Persons beneficially owning 9.975% of the Issuer's outstanding common stock. Concurrently with the execution of a Securities Purchase Agreement, dated July 6, 2026 (the "Purchase Agreement"), by and among the Issuer (seller), XpresSpa Holdings, LLC, XpresTest, Inc., and Express Wellness Group, LLC ("Buyer"), the Reporting Persons entered into a Support Agreement, dated as of July 6, 2026 (the "Support Agreement"), with Buyer. Pursuant to the Support Agreement, the Reporting Persons agreed, among other things, to vote all of their shares of common stock and any shares of common stock issued upon conversion of the Series H Convertible Preferred Stock in favor of the approval and adoption of the Purchase Agreement and the transactions contemplated thereby, subject to the terms and conditions of the Support Agreement.</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0"/>
              <w:jc w:val="left"/>
              <w:rPr/>
            </w:pPr>
            <w:r>
              <w:rPr/>
              <w:t>The aggregate number and percentage of the class of securities identified pursuant to Item 1 beneficially owned by each Reporting Person is stated in Items 11 and 13 on each of the cover pages hereto, subject to the Beneficial Ownership Limitation. Each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 Each Reporting Person may be deemed to be a member of a group with respect to the Issuer or securities of the Issuer for the purposes of Section 13(d) or 13(g) of the Exchange Act. Each Reporting Person declares that neither the filing of this Schedule 13D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0"/>
              <w:jc w:val="left"/>
              <w:rPr/>
            </w:pPr>
            <w:r>
              <w:rPr/>
              <w:t>(i) sole power to vote or to direct the vote: See Item 7 on the cover pages hereto. (ii) shared power to vote or to direct the vote: See Item 8 on the cover pages hereto. (iii) sole power to dispose or to direct the disposition of: See Item 9 on the cover pages hereto. (iv) shared power to dispose or to direct the disposition of: See Item 10 on the cover pages hereto. Each of (b)(i), (ii), (iii), and (iv) subject to the Beneficial Ownership Limitation. Series XXIV XWELL and DOMH are the record and direct beneficial owners of the securities covered by this Schedule 13D. Series XXIV XWELL and DOMH will have, upon conversion or exercise, as applicable, the power to vote or to direct the vote of (and the power to dispose or direct the disposition of) their respectively to be owned shares of common stock. As the manager of AV Management and AV IM (respectively, the manager and investment manager of Series XXIV XWELL), Mr. Newman may be deemed to have the shared power to vote or to direct the vote of (and the shared power to dispose or direct the disposition of) any shares of common stock that may be owned by Series XXIV XWELL. Mr. Newman, AV Management, and AV IM do not own any shares of common stock directly and disclaim beneficial ownership of any shares of common stock that may be owned by Series XXIV XWELL. As the Chief Executive Officer, a director and Chairman of the board of directors of DOMH (the majority member of Series XXIV XWELL), Mr. Hayes may be deemed to have the shared power to vote or to direct the vote of (and the shared power to dispose or direct the disposition of) any shares of common stock that may be owned by Series XXIV XWELL and DOMH. Mr. Hayes does not own any shares of common stock directly and disclaims beneficial ownership of any shares of common stock that may be owned by Series XXIV XWELL and DOMH. As of the date hereof, the Reporting Persons beneficially own 993,617 shares of common stock of the Issuer as a result of the conversion described in Item 4.</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0"/>
              <w:jc w:val="left"/>
              <w:rPr/>
            </w:pPr>
            <w:r>
              <w:rPr/>
              <w:t>Except as set forth in Items 3 and 4 of this Schedule 13D, no Reporting Person has, to the best of each Reporting Person's knowledge, engaged in any transaction with respect to the shares of common stock of the Issuer during the sixty days prior to the date of filing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0"/>
              <w:jc w:val="left"/>
              <w:rPr/>
            </w:pPr>
            <w:r>
              <w:rPr/>
              <w:t>Other than the members of American Ventures LLC, Series XXIV XWELL, which is a private investment fund exempt from the registration requirements of the Investment Company Act of 1940, the Reporting Persons do not know of any other person having the right to receive or the power to direct the receipt of dividends from, or the proceeds from the sale of the securities described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On July 6, 2026, the Reporting Persons entered into a Support Agreement with Buyer in connection with the Purchase Agreement described in Item 4 above. Pursuant to the Support Agreement, the Reporting Persons agreed, among other things, to (a) vote all of their Stockholder Securities (as defined in the Support Agreement) in favor of the approval and adoption of the Purchase Agreement and the transactions contemplated thereby, including the sale of the purchased equity interests, and against any alternative transaction, (b) grant Buyer a conditional irrevocable proxy to vote such shares in favor of the Purchase Agreement if the Reporting Persons fail to comply with their voting obligations, (c) not transfer the Stockholder Securities (subject to certain exceptions), (d) not solicit alternative transactions, and (e) increase the beneficial ownership limitation under the certificate of designations governing the Series H Convertible Preferred Stock from 4.99% to 9.99% and convert shares of Series H Convertible Preferred Stock into common stock to enable the Reporting Persons to vote such shares at the stockholders' meeting called to approve the Purchase Agreement. The Support Agreement terminates upon the earliest of (i) the valid termination of the Purchase Agreement, (ii) the closing of the transactions contemplated by the Purchase Agreement, (iii) the written consent of the parties, (iv) a Valid Adverse Recommendation Change (as defined in the Support Agreement), or (v) any amendment to the Purchase Agreement that is materially adverse to the Reporting Persons without their consent. The foregoing description of the Support Agreement does not purport to be complete and is qualified in its entirety by reference to the full text of the Support Agreement, a copy of which is filed as Exhibit 99.2 hereto and incorporated herein by reference. Other than as set forth herein, there are no other contracts, arrangements, understandings or relationships among the Reporting Persons, or between the Reporting Persons and any other person, with respect to the securities of the Issuer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Exhibit 99.1 Joint Filing Agreement (filed herewith). Exhibit 99.2 Support Agreement, dated as of July 6, 2026, by and between Express Wellness Group, LLC and American Ventures LLC, Series XXIV XWELL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942" w:type="dxa"/>
        <w:jc w:val="left"/>
        <w:tblInd w:w="0" w:type="dxa"/>
        <w:tblLayout w:type="fixed"/>
        <w:tblCellMar>
          <w:top w:w="28" w:type="dxa"/>
          <w:left w:w="28" w:type="dxa"/>
          <w:bottom w:w="28" w:type="dxa"/>
          <w:right w:w="28" w:type="dxa"/>
        </w:tblCellMar>
      </w:tblPr>
      <w:tblGrid>
        <w:gridCol w:w="4971"/>
        <w:gridCol w:w="4971"/>
      </w:tblGrid>
      <w:tr>
        <w:trPr/>
        <w:tc>
          <w:tcPr>
            <w:tcW w:w="4971" w:type="dxa"/>
            <w:tcBorders/>
            <w:vAlign w:val="center"/>
          </w:tcPr>
          <w:p>
            <w:pPr>
              <w:pStyle w:val="TableContents"/>
              <w:bidi w:val="0"/>
              <w:spacing w:before="0" w:after="0"/>
              <w:jc w:val="left"/>
              <w:rPr/>
            </w:pPr>
            <w:r>
              <w:rPr/>
              <w:t>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0"/>
                    <w:jc w:val="left"/>
                    <w:rPr/>
                  </w:pPr>
                  <w:r>
                    <w:rPr/>
                    <w:t>American Ventures LLC, Series XXIV XWELL</w:t>
                  </w:r>
                </w:p>
              </w:tc>
            </w:tr>
          </w:tbl>
          <w:p>
            <w:pPr>
              <w:pStyle w:val="TableContents"/>
              <w:bidi w:val="0"/>
              <w:spacing w:before="0" w:after="283"/>
              <w:jc w:val="left"/>
              <w:rPr/>
            </w:pPr>
            <w:r>
              <w:rPr/>
            </w:r>
          </w:p>
        </w:tc>
        <w:tc>
          <w:tcPr>
            <w:tcW w:w="4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Eric Newman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Eric Newman/Manager of American Ventures Management LLC, Manager of American Ventures LLC, Series XXIV XWELL</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American Ventures Management LLC</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Eric Newman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Eric Newman/Manager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American Ventures IM LLC</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Eric Newman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Eric Newman/Manager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Dominari Holdings Inc.</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Anthony Hayes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Anthony Hayes/CEO</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Eric Newman</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Eric Newman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Eric Newman/Self</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Anthony Hayes</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Anthony Hayes</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Anthony Hayes/Self</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34" w:name="ea030491401ex99-1.htm"/>
      <w:bookmarkStart w:id="35" w:name="ksea030491401ex991"/>
      <w:bookmarkEnd w:id="34"/>
      <w:bookmarkEnd w:id="35"/>
      <w:r>
        <w:rPr>
          <w:b/>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and the rules and regulations thereunder (the “Exchange Act”)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XWELL, Inc.,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54" w:type="dxa"/>
        <w:jc w:val="left"/>
        <w:tblInd w:w="0" w:type="dxa"/>
        <w:tblLayout w:type="fixed"/>
        <w:tblCellMar>
          <w:top w:w="0" w:type="dxa"/>
          <w:left w:w="0" w:type="dxa"/>
          <w:bottom w:w="0" w:type="dxa"/>
          <w:right w:w="0" w:type="dxa"/>
        </w:tblCellMar>
      </w:tblPr>
      <w:tblGrid>
        <w:gridCol w:w="1565"/>
        <w:gridCol w:w="4214"/>
        <w:gridCol w:w="75"/>
      </w:tblGrid>
      <w:tr>
        <w:trPr/>
        <w:tc>
          <w:tcPr>
            <w:tcW w:w="5779" w:type="dxa"/>
            <w:gridSpan w:val="2"/>
            <w:tcBorders/>
            <w:vAlign w:val="center"/>
          </w:tcPr>
          <w:p>
            <w:pPr>
              <w:pStyle w:val="TableContents"/>
              <w:bidi w:val="0"/>
              <w:spacing w:before="0" w:after="283"/>
              <w:jc w:val="left"/>
              <w:rPr>
                <w:b/>
              </w:rPr>
            </w:pPr>
            <w:r>
              <w:rPr>
                <w:b/>
              </w:rPr>
              <w:t>AMERICAN VENTURES LLC, Series XXIV XWELL</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79" w:type="dxa"/>
            <w:gridSpan w:val="2"/>
            <w:tcBorders/>
            <w:vAlign w:val="center"/>
          </w:tcPr>
          <w:p>
            <w:pPr>
              <w:pStyle w:val="TableContents"/>
              <w:bidi w:val="0"/>
              <w:spacing w:before="0" w:after="283"/>
              <w:jc w:val="left"/>
              <w:rPr/>
            </w:pPr>
            <w:r>
              <w:rPr/>
              <w:t>By: American Ventures Management LLC, its manager</w:t>
            </w:r>
          </w:p>
        </w:tc>
        <w:tc>
          <w:tcPr>
            <w:tcW w:w="75" w:type="dxa"/>
            <w:tcBorders/>
            <w:vAlign w:val="center"/>
          </w:tcPr>
          <w:p>
            <w:pPr>
              <w:pStyle w:val="TableContents"/>
              <w:bidi w:val="0"/>
              <w:spacing w:before="0" w:after="283"/>
              <w:jc w:val="left"/>
              <w:rPr/>
            </w:pPr>
            <w:r>
              <w:rPr/>
              <w:t> </w:t>
            </w:r>
          </w:p>
        </w:tc>
      </w:tr>
      <w:tr>
        <w:trPr/>
        <w:tc>
          <w:tcPr>
            <w:tcW w:w="5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79" w:type="dxa"/>
            <w:gridSpan w:val="2"/>
            <w:tcBorders/>
            <w:vAlign w:val="center"/>
          </w:tcPr>
          <w:p>
            <w:pPr>
              <w:pStyle w:val="TableContents"/>
              <w:bidi w:val="0"/>
              <w:spacing w:before="0" w:after="283"/>
              <w:jc w:val="left"/>
              <w:rPr/>
            </w:pPr>
            <w:r>
              <w:rPr/>
              <w:t>By: American Ventures IM LLC, its investment manager</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bottom w:val="single" w:sz="12" w:space="0" w:color="000000"/>
            </w:tcBorders>
            <w:tcMar>
              <w:bottom w:w="28" w:type="dxa"/>
            </w:tcMar>
            <w:vAlign w:val="center"/>
          </w:tcPr>
          <w:p>
            <w:pPr>
              <w:pStyle w:val="TableContents"/>
              <w:bidi w:val="0"/>
              <w:spacing w:before="0" w:after="283"/>
              <w:jc w:val="left"/>
              <w:rPr/>
            </w:pPr>
            <w:r>
              <w:rPr/>
              <w:t>/s/ Eric Newman</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Name:</w:t>
            </w:r>
          </w:p>
        </w:tc>
        <w:tc>
          <w:tcPr>
            <w:tcW w:w="4214" w:type="dxa"/>
            <w:tcBorders/>
            <w:vAlign w:val="center"/>
          </w:tcPr>
          <w:p>
            <w:pPr>
              <w:pStyle w:val="TableContents"/>
              <w:bidi w:val="0"/>
              <w:spacing w:before="0" w:after="283"/>
              <w:jc w:val="left"/>
              <w:rPr/>
            </w:pPr>
            <w:r>
              <w:rPr/>
              <w:t>Eric Newman</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Title:</w:t>
            </w:r>
          </w:p>
        </w:tc>
        <w:tc>
          <w:tcPr>
            <w:tcW w:w="4214"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79" w:type="dxa"/>
            <w:gridSpan w:val="2"/>
            <w:tcBorders/>
            <w:vAlign w:val="center"/>
          </w:tcPr>
          <w:p>
            <w:pPr>
              <w:pStyle w:val="TableContents"/>
              <w:bidi w:val="0"/>
              <w:spacing w:before="0" w:after="283"/>
              <w:jc w:val="left"/>
              <w:rPr>
                <w:b/>
              </w:rPr>
            </w:pPr>
            <w:r>
              <w:rPr>
                <w:b/>
              </w:rPr>
              <w:t>AMERICAN VENTURES MANAGEMENT LLC</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bottom w:val="single" w:sz="12" w:space="0" w:color="000000"/>
            </w:tcBorders>
            <w:tcMar>
              <w:bottom w:w="28" w:type="dxa"/>
            </w:tcMar>
            <w:vAlign w:val="center"/>
          </w:tcPr>
          <w:p>
            <w:pPr>
              <w:pStyle w:val="TableContents"/>
              <w:bidi w:val="0"/>
              <w:spacing w:before="0" w:after="283"/>
              <w:jc w:val="left"/>
              <w:rPr/>
            </w:pPr>
            <w:r>
              <w:rPr/>
              <w:t>/s/ Eric Newman</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Name:</w:t>
            </w:r>
          </w:p>
        </w:tc>
        <w:tc>
          <w:tcPr>
            <w:tcW w:w="4214" w:type="dxa"/>
            <w:tcBorders/>
            <w:vAlign w:val="center"/>
          </w:tcPr>
          <w:p>
            <w:pPr>
              <w:pStyle w:val="TableContents"/>
              <w:bidi w:val="0"/>
              <w:spacing w:before="0" w:after="283"/>
              <w:jc w:val="left"/>
              <w:rPr/>
            </w:pPr>
            <w:r>
              <w:rPr/>
              <w:t>Eric Newman</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Title:</w:t>
            </w:r>
          </w:p>
        </w:tc>
        <w:tc>
          <w:tcPr>
            <w:tcW w:w="4214"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79" w:type="dxa"/>
            <w:gridSpan w:val="2"/>
            <w:tcBorders/>
            <w:vAlign w:val="center"/>
          </w:tcPr>
          <w:p>
            <w:pPr>
              <w:pStyle w:val="TableContents"/>
              <w:bidi w:val="0"/>
              <w:spacing w:before="0" w:after="283"/>
              <w:jc w:val="left"/>
              <w:rPr>
                <w:b/>
              </w:rPr>
            </w:pPr>
            <w:r>
              <w:rPr>
                <w:b/>
              </w:rPr>
              <w:t>AMERICAN VENTURES IM LLC</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bottom w:val="single" w:sz="12" w:space="0" w:color="000000"/>
            </w:tcBorders>
            <w:tcMar>
              <w:bottom w:w="28" w:type="dxa"/>
            </w:tcMar>
            <w:vAlign w:val="center"/>
          </w:tcPr>
          <w:p>
            <w:pPr>
              <w:pStyle w:val="TableContents"/>
              <w:bidi w:val="0"/>
              <w:spacing w:before="0" w:after="283"/>
              <w:jc w:val="left"/>
              <w:rPr/>
            </w:pPr>
            <w:r>
              <w:rPr/>
              <w:t>/s/ Eric Newman</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Name:</w:t>
            </w:r>
          </w:p>
        </w:tc>
        <w:tc>
          <w:tcPr>
            <w:tcW w:w="4214" w:type="dxa"/>
            <w:tcBorders/>
            <w:vAlign w:val="center"/>
          </w:tcPr>
          <w:p>
            <w:pPr>
              <w:pStyle w:val="TableContents"/>
              <w:bidi w:val="0"/>
              <w:spacing w:before="0" w:after="283"/>
              <w:jc w:val="left"/>
              <w:rPr/>
            </w:pPr>
            <w:r>
              <w:rPr/>
              <w:t>Eric Newman</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Title:</w:t>
            </w:r>
          </w:p>
        </w:tc>
        <w:tc>
          <w:tcPr>
            <w:tcW w:w="4214"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79" w:type="dxa"/>
            <w:gridSpan w:val="2"/>
            <w:tcBorders/>
            <w:vAlign w:val="center"/>
          </w:tcPr>
          <w:p>
            <w:pPr>
              <w:pStyle w:val="TableContents"/>
              <w:bidi w:val="0"/>
              <w:spacing w:before="0" w:after="283"/>
              <w:jc w:val="left"/>
              <w:rPr>
                <w:b/>
              </w:rPr>
            </w:pPr>
            <w:r>
              <w:rPr>
                <w:b/>
              </w:rPr>
              <w:t>DOMINARI HOLDINGS INC.</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bottom w:val="single" w:sz="12" w:space="0" w:color="000000"/>
            </w:tcBorders>
            <w:tcMar>
              <w:bottom w:w="28" w:type="dxa"/>
            </w:tcMar>
            <w:vAlign w:val="center"/>
          </w:tcPr>
          <w:p>
            <w:pPr>
              <w:pStyle w:val="TableContents"/>
              <w:bidi w:val="0"/>
              <w:spacing w:before="0" w:after="283"/>
              <w:jc w:val="left"/>
              <w:rPr/>
            </w:pPr>
            <w:r>
              <w:rPr/>
              <w:t>/s/ Anthony Hayes</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Name:</w:t>
            </w:r>
          </w:p>
        </w:tc>
        <w:tc>
          <w:tcPr>
            <w:tcW w:w="4214" w:type="dxa"/>
            <w:tcBorders/>
            <w:vAlign w:val="center"/>
          </w:tcPr>
          <w:p>
            <w:pPr>
              <w:pStyle w:val="TableContents"/>
              <w:bidi w:val="0"/>
              <w:spacing w:before="0" w:after="283"/>
              <w:jc w:val="left"/>
              <w:rPr/>
            </w:pPr>
            <w:r>
              <w:rPr/>
              <w:t>Anthony Hayes</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Title:</w:t>
            </w:r>
          </w:p>
        </w:tc>
        <w:tc>
          <w:tcPr>
            <w:tcW w:w="4214"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bottom w:val="single" w:sz="12" w:space="0" w:color="000000"/>
            </w:tcBorders>
            <w:tcMar>
              <w:bottom w:w="28" w:type="dxa"/>
            </w:tcMar>
            <w:vAlign w:val="center"/>
          </w:tcPr>
          <w:p>
            <w:pPr>
              <w:pStyle w:val="TableContents"/>
              <w:bidi w:val="0"/>
              <w:spacing w:before="0" w:after="283"/>
              <w:jc w:val="left"/>
              <w:rPr/>
            </w:pPr>
            <w:r>
              <w:rPr/>
              <w:t>/s/ Eric Newman</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Name:</w:t>
            </w:r>
          </w:p>
        </w:tc>
        <w:tc>
          <w:tcPr>
            <w:tcW w:w="4214" w:type="dxa"/>
            <w:tcBorders/>
            <w:vAlign w:val="center"/>
          </w:tcPr>
          <w:p>
            <w:pPr>
              <w:pStyle w:val="TableContents"/>
              <w:bidi w:val="0"/>
              <w:spacing w:before="0" w:after="283"/>
              <w:jc w:val="left"/>
              <w:rPr/>
            </w:pPr>
            <w:r>
              <w:rPr/>
              <w:t>Eric Newman</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214" w:type="dxa"/>
            <w:tcBorders>
              <w:bottom w:val="single" w:sz="12" w:space="0" w:color="000000"/>
            </w:tcBorders>
            <w:tcMar>
              <w:bottom w:w="28" w:type="dxa"/>
            </w:tcMar>
            <w:vAlign w:val="center"/>
          </w:tcPr>
          <w:p>
            <w:pPr>
              <w:pStyle w:val="TableContents"/>
              <w:bidi w:val="0"/>
              <w:spacing w:before="0" w:after="283"/>
              <w:jc w:val="left"/>
              <w:rPr/>
            </w:pPr>
            <w:r>
              <w:rPr/>
              <w:t>/s/ Anthony Hayes</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Name:</w:t>
            </w:r>
          </w:p>
        </w:tc>
        <w:tc>
          <w:tcPr>
            <w:tcW w:w="4214" w:type="dxa"/>
            <w:tcBorders/>
            <w:vAlign w:val="center"/>
          </w:tcPr>
          <w:p>
            <w:pPr>
              <w:pStyle w:val="TableContents"/>
              <w:bidi w:val="0"/>
              <w:spacing w:before="0" w:after="283"/>
              <w:jc w:val="left"/>
              <w:rPr/>
            </w:pPr>
            <w:r>
              <w:rPr/>
              <w:t>Anthony Hayes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6" w:name="ea030491401ex99-2.htm"/>
      <w:bookmarkStart w:id="37" w:name="ksea030491401ex992"/>
      <w:bookmarkEnd w:id="36"/>
      <w:bookmarkEnd w:id="37"/>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Support Agreement, dated as of July 6, 2026 (ꞏthis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by and between Express Wellness Group, LLC, a Delaware limited liability company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and American Ventures LLC Series XXIV XWELL, a Delaware limited liability company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and together with Buyer,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Stockholder is the beneficial owner (as defined in Rule 13d-3 under the Exchange Act) of 0 shares of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XWELL, Inc., a Delaware corporation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31,333 shares of Series H Convertible Preferred Stock, par value $0.01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of the Seller, which Preferred Stock is convertible into shares of Common Stock in accordance with and subject to the terms of the certificate of designations governing such Preferred Stock (the “</w:t>
      </w:r>
      <w:r>
        <w:rPr>
          <w:rFonts w:ascii="Times New Roman;Times;Serif" w:hAnsi="Times New Roman;Times;Serif"/>
          <w:b w:val="false"/>
          <w:i w:val="false"/>
          <w:caps w:val="false"/>
          <w:smallCaps w:val="false"/>
          <w:sz w:val="20"/>
          <w:u w:val="single"/>
        </w:rPr>
        <w:t>Certificate of Designations</w:t>
      </w:r>
      <w:r>
        <w:rPr>
          <w:rFonts w:ascii="Times New Roman;Times;Serif" w:hAnsi="Times New Roman;Times;Serif"/>
          <w:b w:val="false"/>
          <w:i w:val="false"/>
          <w:caps w:val="false"/>
          <w:smallCaps w:val="false"/>
          <w:sz w:val="20"/>
        </w:rPr>
        <w:t>”), including the beneficial ownership limitation set forth therein (the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(all such shares of Common Stock and Preferred Stock, together with any additional shares of Common Stock issued to Stockholder upon conversion of the Preferred Stock in accordance with this Agreement, collectively, the “</w:t>
      </w:r>
      <w:r>
        <w:rPr>
          <w:rFonts w:ascii="Times New Roman;Times;Serif" w:hAnsi="Times New Roman;Times;Serif"/>
          <w:b w:val="false"/>
          <w:i w:val="false"/>
          <w:caps w:val="false"/>
          <w:smallCaps w:val="false"/>
          <w:sz w:val="20"/>
          <w:u w:val="single"/>
        </w:rPr>
        <w:t>Subject Shares</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hereof, the Seller, XpresSpa Holdings, LLC, a Delaware limited liability company, XpresTest, Inc., a Delaware corporation, and Buyer are entering into a Securities Purchase Agreement, dated as of the date of this Agreement (as it may be amended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which provides for, among other things, the purchase and sale of all of the Purchased Equity (as defined in the Purchase Agreement) (the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upon the terms and subject to the conditions set forth in the Purchase Agreement (capitalized terms used but not otherwise defined herein shall have the respective meanings ascribed to such terms in the Purchase Agreement); and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to Buyer’s willingness to enter into the Purchase Agreement, and as a material inducement and in consideration therefor, Stockholder (in Stockholder’s capacity as the beneficial owner of the Subject Shares) has agreed to enter into this Agreement.</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4299" w:right="0" w:hanging="1"/>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4299" w:right="0" w:hanging="1"/>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pStyle w:val="TextBody"/>
        <w:bidi w:val="0"/>
        <w:spacing w:before="0" w:after="0"/>
        <w:ind w:left="4299" w:right="0" w:hanging="1"/>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spacing w:before="0" w:after="0"/>
        <w:ind w:left="4299" w:right="0" w:hanging="1"/>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Upon the terms and subject to the conditions of this Agreement, Stockholder hereby undertakes and agrees that, unless and until this Agreement shall have been validly terminated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Stockholder shall, at any annual, special or other meeting of the Seller’s stockholders called to obtain the Stockholder Approval (as defined in the Purchase Agreement), and at every adjournment or postponement thereof, and in connection with any action proposed to be taken by written consent of the stockholders of the Seller, (A) affirmatively vote (including via proxy), or deliver via a written consent, all of the Stockholder Securities (as defined below, and including any shares of Common Stock acquired by Stockholder after the date hereof) in favor of, and shall not withdraw or modify any such vote with respect to, the approval and adoption of the Purchase Agreement and the transactions contemplated thereby (including the Sale), and/or (B) except as otherwise permitted herein, vote against (including via proxy), and shall not deliver any written consent with respect to, (x) any action or agreement which would reasonably be expected to (I) materially impede, materially delay or materially adversely affect the consummation of the Sale or result in any of the conditions to the obligations of the parties to consummate the Sale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of the Purchase Agreement not being fulfilled on or before the Termination Date (as defined in the Purchase Agreement), or (II) result in a material breach of any covenant, representation or warranty or any other material obligation or agreement of the Seller or any Company contained in the Purchase Agreement, or of Stockholder contained in this Agreement, and (y) any Alternative Transaction (as defined in the Purchase Agreement); provided, however, that the obligations of Stockholder under this Section 1.1 shall automatically terminate, without any action by any Party, upon the occurrence of a Valid Adverse Recommendation Change. Stockholder agrees to be, or shall cause the record holder on any applicable record date to be, present, in person or by proxy, at every meeting of the Seller’s stockholders, including any postponement or adjournment thereof, or in any other circumstance, however called, to vote on the matters contemplated by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so that all of the Stockholder Securities will be counted for purposes of determining the presence of a quorum at any such meeting, or otherwise cause the Stockholder Securities to be counted as present thereat for purposes of establishing a quorum. For the avoidance of doubt, other than with respect to the matters contemplated by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Stockholder does not have any obligation to vote the Stockholder Securities in any particular manner and, with respect to such other matters, Stockholder shall be entitled to vote the Stockholder Securities in its sole discretion.</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Conditional Power of Attorney</w:t>
      </w:r>
      <w:r>
        <w:rPr>
          <w:rFonts w:ascii="Times New Roman;Times;Serif" w:hAnsi="Times New Roman;Times;Serif"/>
          <w:b w:val="false"/>
          <w:i w:val="false"/>
          <w:caps w:val="false"/>
          <w:smallCaps w:val="false"/>
          <w:sz w:val="20"/>
        </w:rPr>
        <w:t xml:space="preserve">. To secure Stockholder’s obligations in accordance with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Agreement, Stockholder hereby appoints Buyer as the Stockholder’s attorney in fact and proxy with full power of substitution and resubstitution, and grants Buyer the power to affirmatively vote (including via proxy), and to execute written consents with respect to, all of the Stockholder Securities (including any shares of Common Stock acquired by Stockholder after the date hereof) in favor of, and not withdraw or modify any such vote with respect to, approving and adopting the Purchase Agreement and the transactions contemplated thereby (including the Sale) if, and only if, the Stockholder fails to comply with the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Buyer has provided Stockholder with written notice of such failure and Stockholder has not cured such failure within five (5) Business Days following receipt of such notice. Such appointment will be irrevocable for the term of this Agreement and is coupled with an interest, including for purposes of Section 212 of the DGCL. The appointment will survive the merger or reorganization of the Stockholder. The proxy and power of attorney granted hereunder shall terminate automatically and without further action upon (a) the termination of this Agreement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or (b) the occurrence of a Valid Adverse Recommendation Change. Notwithstanding the foregoing, Buyer may terminate this proxy at any time in its sole discretion by written notice provided to the Stockholder.</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Right to Change Vote Upon Adverse Recommendation Change</w:t>
      </w:r>
      <w:r>
        <w:rPr>
          <w:rFonts w:ascii="Times New Roman;Times;Serif" w:hAnsi="Times New Roman;Times;Serif"/>
          <w:b w:val="false"/>
          <w:i w:val="false"/>
          <w:caps w:val="false"/>
          <w:smallCaps w:val="false"/>
          <w:sz w:val="20"/>
        </w:rPr>
        <w:t>. Notwithstanding Section 1.1, Stockholder shall be permitted to change, withdraw, or modify its vote (or any written consent) with respect to the approval and adoption of the Purchase Agreement (a “Vote Change”) if, and only if, an Adverse Recommendation Change (as defined in the Purchase Agreement) has been duly effected by the board of directors of the Seller in compliance with the requirements of the Purchase Agreement, including satisfaction of all applicable notice and negotiation obligations thereunder, and the negotiation period required by Section 6.8(d) or Section 6.8(e), as applicable, of the Purchase Agreement (including any extension thereof) has fully expired without the board of directors of the Seller having withdrawn such Adverse Recommendation Change (the foregoing, a “Valid Adverse Recommendation Change”). For the avoidance of doubt, (i) the occurrence of an Adverse Recommendation Change alone shall not entitle Stockholder to effect a Vote Change prior to the expiration of the full negotiation period required by Section 6.8(d) or Section 6.8(e), as applicable, of the Purchase Agreement (including any extension thereof), (ii) any purported Vote Change not satisfying the foregoing conditions shall be null and void and of no force or effect, and the voting obligations of Stockholder under Section 1.1 (and the proxy under Section 1.2) shall remain in full force and effect until such time as a Valid Adverse Recommendation Change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Capacity as Stockholder; Directors and Officers</w:t>
      </w:r>
      <w:r>
        <w:rPr>
          <w:rFonts w:ascii="Times New Roman;Times;Serif" w:hAnsi="Times New Roman;Times;Serif"/>
          <w:b w:val="false"/>
          <w:i w:val="false"/>
          <w:caps w:val="false"/>
          <w:smallCaps w:val="false"/>
          <w:sz w:val="20"/>
        </w:rPr>
        <w:t>. Stockholder is entering into this Agreement solely in its capacity as a stockholder of the Seller, and not in its capacity as a director, officer or employee of the Seller or any of its Subsidiaries. Nothing in this Agreement shall limit or restrict any Stockholder, or any affiliate, designee or representative of Stockholder, who is a director, officer or employee of the Seller or any of its Subsidiaries in acting in his or her capacity as a director, officer or employee. No action taken or omitted by any such individual in his or her capacity as a director, officer or employee of the Seller or any of its Subsidiaries (including the exercise of his or her fiduciary duties as such) shall be deemed a breach of this Agreement, and this Agreement shall not apply to, limit or affect any such actions, omissions, judgments or decisions.</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OF STOCKHOLDER</w:t>
      </w:r>
    </w:p>
    <w:p>
      <w:pPr>
        <w:pStyle w:val="TextBody"/>
        <w:bidi w:val="0"/>
        <w:spacing w:before="0" w:after="0"/>
        <w:ind w:left="107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represents and warrants to Buyer that: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Organization; Authorization; Binding Agreement</w:t>
      </w:r>
      <w:r>
        <w:rPr>
          <w:rFonts w:ascii="Times New Roman;Times;Serif" w:hAnsi="Times New Roman;Times;Serif"/>
          <w:b w:val="false"/>
          <w:i w:val="false"/>
          <w:caps w:val="false"/>
          <w:smallCaps w:val="false"/>
          <w:sz w:val="20"/>
        </w:rPr>
        <w:t>. To the extent that Stockholder is an entity, Stockholder is duly organized and validly existing under the laws of the jurisdiction of its formation or incorporation and Stockholder has duly authorized its execution, delivery and performance of this Agreement. Stockholder has full power and authority to execute, deliver and perform this Agreement. This Agreement has been duly and validly executed and delivered by Stockholder, and constitutes a legal, valid and binding obligation of Stockholder enforceable against Stockholder in accordance with its terms (except insofar as such enforceability may be limited by bankruptcy, insolvency, reorganization, moratorium or other applicable Laws of general applicability relating to or affecting creditors’ rights, or by principles governing the availability of equitable remedies, whether considered in an Action at law or in equity).</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35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The execution and delivery of this Agreement by Stockholder does not, and the performance by Stockholder of Stockholder’s obligations hereunder and the consummation by Stockholder of the transactions contemplated hereby will not, (a) conflict with, or result in any material violation or breach of, or constitute a material default on the part of the Stockholder under, any Laws applicable to Stockholder or Stockholder’s Subject Shares and, to the extent that such Stockholder is an entity, the organizational or governing documents of such Stockholder, (b) conflict with or result in a material violation or breach of, or constitute a material default on the part of Stockholder under, any contract, trust, commitment, agreement, understanding, arrangement or restriction of any kind to which Stockholder is a party or by which Stockholder or its assets are bound, or (c) except as may be required by applicable Laws, require any consent, approval, order, authorization or other action by, or filing with or notice to, any Person (including any Governmental Authority) under any applicable Law, in case of each of clauses (a), (b) and (c), except as would not reasonably be expected to prevent, impair or materially delay Stockholder’s timely performance of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Ownership of Subject Shares</w:t>
      </w:r>
      <w:r>
        <w:rPr>
          <w:rFonts w:ascii="Times New Roman;Times;Serif" w:hAnsi="Times New Roman;Times;Serif"/>
          <w:b w:val="false"/>
          <w:i w:val="false"/>
          <w:caps w:val="false"/>
          <w:smallCaps w:val="false"/>
          <w:sz w:val="20"/>
        </w:rPr>
        <w:t xml:space="preserve">. Stockholder is, and (except with respect to any Common Stock Transferred in accordance with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hereof) will remain, the beneficial owner (as defined in Rule 13d-3 under the Exchange Act) of the Subject Shares (together with any shares of Common Stock which such Stockholder may acquire at any time in the future during the term of this Agreement, the “</w:t>
      </w:r>
      <w:r>
        <w:rPr>
          <w:rFonts w:ascii="Times New Roman;Times;Serif" w:hAnsi="Times New Roman;Times;Serif"/>
          <w:b w:val="false"/>
          <w:i w:val="false"/>
          <w:caps w:val="false"/>
          <w:smallCaps w:val="false"/>
          <w:sz w:val="20"/>
          <w:u w:val="single"/>
        </w:rPr>
        <w:t>Stockholder Securities</w:t>
      </w:r>
      <w:r>
        <w:rPr>
          <w:rFonts w:ascii="Times New Roman;Times;Serif" w:hAnsi="Times New Roman;Times;Serif"/>
          <w:b w:val="false"/>
          <w:i w:val="false"/>
          <w:caps w:val="false"/>
          <w:smallCaps w:val="false"/>
          <w:sz w:val="20"/>
        </w:rPr>
        <w:t>”). Stockholder does not hold or have any beneficial ownership interest in any shares of Common Stock or any option, warrant, call, proxy, commitment, right or other securities convertible, exchangeable or exercisable into shares of Common Stock, or other instrument, obligation or right the value of which is based on any of the foregoing (each, an “</w:t>
      </w:r>
      <w:r>
        <w:rPr>
          <w:rFonts w:ascii="Times New Roman;Times;Serif" w:hAnsi="Times New Roman;Times;Serif"/>
          <w:b w:val="false"/>
          <w:i w:val="false"/>
          <w:caps w:val="false"/>
          <w:smallCaps w:val="false"/>
          <w:sz w:val="20"/>
          <w:u w:val="single"/>
        </w:rPr>
        <w:t>Equity Interest</w:t>
      </w:r>
      <w:r>
        <w:rPr>
          <w:rFonts w:ascii="Times New Roman;Times;Serif" w:hAnsi="Times New Roman;Times;Serif"/>
          <w:b w:val="false"/>
          <w:i w:val="false"/>
          <w:caps w:val="false"/>
          <w:smallCaps w:val="false"/>
          <w:sz w:val="20"/>
        </w:rPr>
        <w:t xml:space="preserve">”), other than the Subject Shares and those Equity Interests set forth on Schedule A hereto (which schedule Stockholder represents and warrants to be complete and accurate as of the date hereof). The Subject Shares and the certificates, if any, representing the Subject Shares owned by the Stockholder are now, and, subject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such Subject Shares and any additional Stockholder Securities such Stockholder may acquire in the future during the term of this Agreement will be, held by Stockholder or by a nominee or custodian for the benefit of such Stockholder, free and clear of all Liens, subscriptions, options, warrants, calls, proxies, commitments, restrictions and contracts of any kind, except for any such Liens arising hereunder, any applicable restrictions on transfer under the Securities Act and any Liens that would not impair the Stockholder’s ability to timely perform his/her/its obligations hereunder (collectively, “</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Voting Power</w:t>
      </w:r>
      <w:r>
        <w:rPr>
          <w:rFonts w:ascii="Times New Roman;Times;Serif" w:hAnsi="Times New Roman;Times;Serif"/>
          <w:b w:val="false"/>
          <w:i w:val="false"/>
          <w:caps w:val="false"/>
          <w:smallCaps w:val="false"/>
          <w:sz w:val="20"/>
        </w:rPr>
        <w:t xml:space="preserve">. Subject to this Agreement and any Loan Agreement (as defined below) made available to Buyer prior to the execution of this Agreement, Stockholder has full and sole power and authority to direct the voting of, and full and sole power of disposition with respect to, all of the Subject Shares. For purposes of this Agreement, “Loan Agreement” means any agreement of Stockholder or any of its Affiliates for any borrowed money, advance or extension of credit or the pledge, hypothecation or other granting of a security interest in any Subject Shares to one or more banks or financial institutions as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collateral or security for any such loan, advance or extension of credit”. Stockholder shall not enter into any new Loan Agreement after the date hereof without the prior written consent of Buyer, such consent not to be unreasonably withheld, conditioned or delayed; provided that Buyer’s prior written consent shall not be required for any such Loan Agreement if, and only if, the lender thereunder has agreed in writing, prior to the effectiveness of such Loan Agreement, to be bound by the voting obligations of Stockholder under this Agreement. No Loan Agreement disclosed to Buyer prior to the date hereof, and no other stockholders’ agreement, proxy, voting trust or other agreement or arrangement with respect to the voting of the Subject Shares, grants any lender or third party the right to direct, control or exercise voting power over any of the Subject Shares in a manner that would adversely affect Stockholder’s ability to comply with this Agreement, except as provided hereunder.</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Proceedings</w:t>
      </w:r>
      <w:r>
        <w:rPr>
          <w:rFonts w:ascii="Times New Roman;Times;Serif" w:hAnsi="Times New Roman;Times;Serif"/>
          <w:b w:val="false"/>
          <w:i w:val="false"/>
          <w:caps w:val="false"/>
          <w:smallCaps w:val="false"/>
          <w:sz w:val="20"/>
        </w:rPr>
        <w:t>. As of the time of execution of this Agreement, there is no Action pending or, to the knowledge of Stockholder, threatened against Stockholder at law or equity before or by any Governmental Authority that would reasonably be expected to prevent, impair or materially delay Stockholder’s timely performance of its obligations under this Agreement.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Convertibility of Preferred Stock</w:t>
      </w:r>
      <w:r>
        <w:rPr>
          <w:rFonts w:ascii="Times New Roman;Times;Serif" w:hAnsi="Times New Roman;Times;Serif"/>
          <w:b w:val="false"/>
          <w:i w:val="false"/>
          <w:caps w:val="false"/>
          <w:smallCaps w:val="false"/>
          <w:sz w:val="20"/>
        </w:rPr>
        <w:t xml:space="preserve">. The Preferred Stock held by Stockholder is, as of the date hereof, convertible into shares of Common Stock in accordance with the terms of the Certificate of Designations, subject only to the Maximum Percentage limitation set forth therein. The Certificate of Designations permits the holder of Preferred Stock to elect to increase the Maximum Percentage in the manner contemplated by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 xml:space="preserve"> of this Agreement, and no consent, approval or other action of the Seller or any other Person is required to make such election effective in accordance with its terms. To the knowledge of Stockholder, no anti-dilution adjustment, conversion rate adjustment, or other structural change is pending or threatened that would materially affect the number of shares of Common Stock into which the Preferred Stock would be convertible as of the Conversion Eligibility Date. No agreement, instrument, restriction or applicable Law (other than the Maximum Percentage limitation and the sixty-one (61) day waiting period under the Certificate of Designations, each of which is addressed by the mechanics set forth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would, as of the date hereof, prevent, restrict or materially delay the conversion of the Preferred Stock into the Conversion Shares in the manner and on the timeline contemplated by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2200" w:right="0" w:firstLine="215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OF BUYER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Stockholder that:</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 Authorization</w:t>
      </w:r>
      <w:r>
        <w:rPr>
          <w:rFonts w:ascii="Times New Roman;Times;Serif" w:hAnsi="Times New Roman;Times;Serif"/>
          <w:b w:val="false"/>
          <w:i w:val="false"/>
          <w:caps w:val="false"/>
          <w:smallCaps w:val="false"/>
          <w:sz w:val="20"/>
        </w:rPr>
        <w:t>. Buyer is duly organized and validly existing and in good standing under the laws of the jurisdiction in which it is organized (in the case of good standing, to the extent the concept is recognized by such jurisdiction). The consummation of the transactions contemplated hereby are within Buyer’s entity powers and have been duly authorized by all necessary entity action on the part of Buyer. Buyer has all requisite entity power and authority to execute and deliver this Agreement and to consummate the transactions contemplated thereby.</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Binding Agreement</w:t>
      </w:r>
      <w:r>
        <w:rPr>
          <w:rFonts w:ascii="Times New Roman;Times;Serif" w:hAnsi="Times New Roman;Times;Serif"/>
          <w:b w:val="false"/>
          <w:i w:val="false"/>
          <w:caps w:val="false"/>
          <w:smallCaps w:val="false"/>
          <w:sz w:val="20"/>
        </w:rPr>
        <w:t>. Buyer has duly executed and delivered this Agreement, and this Agreement constitutes a legal, valid and binding obligation of Buyer, enforceable against Buyer in accordance with its terms (except insofar as such enforceability may be limited by bankruptcy, insolvency, reorganization, moratorium or other applicable Laws of general applicability relating to or affecting creditors’ rights, or by principles governing the availability of equitable remedies, whether considered in a Proceeding at law or in equity).</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No Other Representations</w:t>
      </w:r>
      <w:r>
        <w:rPr>
          <w:rFonts w:ascii="Times New Roman;Times;Serif" w:hAnsi="Times New Roman;Times;Serif"/>
          <w:b w:val="false"/>
          <w:i w:val="false"/>
          <w:caps w:val="false"/>
          <w:smallCaps w:val="false"/>
          <w:sz w:val="20"/>
        </w:rPr>
        <w:t xml:space="preserve">. Buyer hereby acknowledges and agrees that, except for the representations and warranties of Stockholder expressly set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none of Stockholder, its Affiliates, any Representative of any of the foregoing or any other Person has made, and neither Buyer or any other Person has relied on, any representation or warranty regarding Stockholder, the sufficiency of the representations and warranties set forth herein or any other matter in connection with the entry by Stockholder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COVENANTS OF STOCKHOLDER</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No Transfer; No Inconsistent Arrangements</w:t>
      </w:r>
      <w:r>
        <w:rPr>
          <w:rFonts w:ascii="Times New Roman;Times;Serif" w:hAnsi="Times New Roman;Times;Serif"/>
          <w:b w:val="false"/>
          <w:i w:val="false"/>
          <w:caps w:val="false"/>
          <w:smallCaps w:val="false"/>
          <w:sz w:val="20"/>
        </w:rPr>
        <w:t xml:space="preserve">. Except as provided hereunder or under the Purchase Agreement or any Loan Agreement, from and after the date hereof and until the termination of this Agreement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Stockholder shall not, directly or indirectly, (a) create any Lien on any or all of the Stockholder Securities, except for any Permitted Liens, (b) transfer, sell, assign, gift, exchange, tender, hypothecate, hedge, pledge or otherwise dispose of (collectively,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any of the Stockholder Securities (including any shares of Common Stock acquired by Stockholder after the date hereof, which shall be subject to the restrictions set forth in this Section 4.1 immediately upon acquisition), (c) grant or permit the grant of any proxy or power of attorney with respect to any of the Stockholder Securities to the extent inconsistent with such Stockholder’s obligations hereunder, or (d) deposit or permit the deposit of any of the Stockholder Securities into a voting trust or enter into a voting agreement or arrangement with respect to any of the Stockholder Securities, in each case except as may be necessary or advisable in connection with Stockholder’s performance of its obligations hereunder. Notwithstanding the foregoing, Stockholder may Transfer any of the Stockholder Securities (i) to any Affiliate of Stockholder, (ii) for bona fide estate planning purposes to any immediate family member of Stockholder or to a trust for the benefit of Stockholder or any immediate family member of Stockholder, (iii) pursuant to any Loan Agreement in effect as of the date hereof or any Loan Agreement after the date hereof where the lender agrees in writing to be bound by the voting obligations of Stockholder under this Agreement, (iv) in open market sales effected on a national securities exchange during any period in which the obligations of Stockholder under Section 1.1 have been automatically released as a result of a Valid Adverse Recommendation Change, (v) if, after giving effect to such Transfer, Stockholder continues to hold and be entitled to vote not less than 9.99% of the outstanding shares of Common Stock, or (vi) with the prior written consent of Buyer, such consent not to be unreasonably withheld, conditioned or delayed, only if, in the case of clauses (i), (ii) and (iii), such transferee of such Stockholder Securities takes and holds such Stockholder Securities subject to all of the restrictions, liabilities and rights under this Agreement, which shall continue in full force and effect until the termination of this Agreement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Permitted Transfer</w:t>
      </w:r>
      <w:r>
        <w:rPr>
          <w:rFonts w:ascii="Times New Roman;Times;Serif" w:hAnsi="Times New Roman;Times;Serif"/>
          <w:b w:val="false"/>
          <w:i w:val="false"/>
          <w:caps w:val="false"/>
          <w:smallCaps w:val="false"/>
          <w:sz w:val="20"/>
        </w:rPr>
        <w:t xml:space="preserve">”); provided, that no such Transfer shall relieve Stockholder of any of its obligations under this Agreement. To the fullest extent permitted by law, if any involuntary Transfer of any of the Stockholder Securities shall occur (including, but not limited to, a sale by Stockholder’s trustee in any bankruptcy, or a sale to a purchaser at any creditor’s or court sale), the transferee (which term, as used herein, shall include any and all transferees and subsequent transferees of the initial transferee) shall take and hold such Stockholder Securities subject to all of the restrictions, liabilities and rights under this Agreement, which shall continue in full force and effect until the termination of this Agreement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In the event of any stock split, stock dividend, merger, reorganization, recapitalization, reclassification, combination, exchange of shares or similar transaction with respect to the capital stock of the Seller that affects the Subject Shares, the terms of this Agreement shall apply to the resulting securities.</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35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xml:space="preserve">. From and after the date hereof until this Agreement shall have been validly terminated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Stockholder, solely in its capacity as a stockholder of the Seller, shall not, and shall not authorize or permit any of its Representatives to and it shall direct its Representatives not to, directly or indirectly (other than with respect to Buyer), (A) solicit, assist, initiate, propose, induce the making, submission or announcement of or otherwise knowingly encourage or facilitate any inquiries, proposals or offers that constitute, or that would reasonably be expected to constitute or lead to, an Alternative Transaction (as defined in the Purchase Agreement), (B) authorize, engage in, continue or otherwise participate in any discussions or negotiations with any third party regarding any inquiries, proposals or offers that constitute, or that would reasonably be expected to constitute or lead to, an Alternative Transaction, (C) furnish to any third party any information or provide to any third party access to the businesses, properties, assets, books, records or personnel of the Seller or any of its Subsidiaries, in each case for the purpose of encouraging or facilitating any inquiries, proposals or offers that constitute, or that would reasonably be expected to lead to, an Alternative Transaction, (D) approve, endorse or recommend an Alternative Transaction, or publicly propose to accept, approve, endorse or recommend any publicly announced Alternative Transaction, or (E) approve, recommend or enter into, or propose to approve, recommend or enter into, any letter of intent, memorandum of understanding, acquisition agreement, or other similar contract with respect to an Alternative Transaction; or (F) propose, resolve, authorize, agree or commit to do any of the foregoing. Stockholder shall promptly (and in any event within two (2) Business Days) notify Buyer in writing of any inquiry, proposal, offer or request for information relating to an Alternative Transaction received by Stockholder or any of its Representatives that Stockholder reasonably determines to be bona fide, including the identity of the Person making such inquiry, proposal, offer or request and the material terms thereof (to the extent known), and shall keep Buyer reasonably informed on a prompt basis of any material developments with respect thereto. Notwithstanding the foregoing, Stockholder’s obligations under this Section 4.3 shall automatically terminate upon a Valid Adverse Recommendation Change.</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Formation of Groups</w:t>
      </w:r>
      <w:r>
        <w:rPr>
          <w:rFonts w:ascii="Times New Roman;Times;Serif" w:hAnsi="Times New Roman;Times;Serif"/>
          <w:b w:val="false"/>
          <w:i w:val="false"/>
          <w:caps w:val="false"/>
          <w:smallCaps w:val="false"/>
          <w:sz w:val="20"/>
        </w:rPr>
        <w:t xml:space="preserve">. Unless and until the termination of this Agreement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Stockholder agrees that it shall not, and shall cause each of its controlled affiliates not to, become a member of a “group” with respect to any Stockholder Securities (as defined under Section 13(d) of the Exchange Act) for the purpose of opposing or competing with or taking any actions in opposition to or competition with the transactions contemplated by the Purchase Agreement.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Conversion and Voting Actions</w:t>
      </w:r>
      <w:r>
        <w:rPr>
          <w:rFonts w:ascii="Times New Roman;Times;Serif" w:hAnsi="Times New Roman;Times;Serif"/>
          <w:b w:val="false"/>
          <w:i w:val="false"/>
          <w:caps w:val="false"/>
          <w:smallCaps w:val="false"/>
          <w:sz w:val="20"/>
        </w:rPr>
        <w:t>. In furtherance of the voting obligations set forth in Section 1.1, Stockholder shall take each of the following actions to enable Stockholder to hold and vote shares of Common Stock as holder of record as of the Record Date (as defined below) at the stockholders’ meeting called to obtain the Stockholder Approval:</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Blocker Election; Non-Rescission</w:t>
      </w:r>
      <w:r>
        <w:rPr>
          <w:rFonts w:ascii="Times New Roman;Times;Serif" w:hAnsi="Times New Roman;Times;Serif"/>
          <w:b w:val="false"/>
          <w:i w:val="false"/>
          <w:caps w:val="false"/>
          <w:smallCaps w:val="false"/>
          <w:sz w:val="20"/>
        </w:rPr>
        <w:t>. Concurrently with the execution and delivery of this Agreement, Stockholder shall deliver to the Seller a written notice in accordance with the Certificate of Designations, electing to increase the Maximum Percentage to 9.99% of the number of shares of Common Stock outstanding immediately after giving effect to any conversion of the Preferred Stock (the “</w:t>
      </w:r>
      <w:r>
        <w:rPr>
          <w:rFonts w:ascii="Times New Roman;Times;Serif" w:hAnsi="Times New Roman;Times;Serif"/>
          <w:b w:val="false"/>
          <w:i w:val="false"/>
          <w:caps w:val="false"/>
          <w:smallCaps w:val="false"/>
          <w:sz w:val="20"/>
          <w:u w:val="single"/>
        </w:rPr>
        <w:t>Increased Maximum Percentage</w:t>
      </w:r>
      <w:r>
        <w:rPr>
          <w:rFonts w:ascii="Times New Roman;Times;Serif" w:hAnsi="Times New Roman;Times;Serif"/>
          <w:b w:val="false"/>
          <w:i w:val="false"/>
          <w:caps w:val="false"/>
          <w:smallCaps w:val="false"/>
          <w:sz w:val="20"/>
        </w:rPr>
        <w:t>”), which increase shall become effective sixty-one (61) calendar days following delivery of such notice (the “</w:t>
      </w:r>
      <w:r>
        <w:rPr>
          <w:rFonts w:ascii="Times New Roman;Times;Serif" w:hAnsi="Times New Roman;Times;Serif"/>
          <w:b w:val="false"/>
          <w:i w:val="false"/>
          <w:caps w:val="false"/>
          <w:smallCaps w:val="false"/>
          <w:sz w:val="20"/>
          <w:u w:val="single"/>
        </w:rPr>
        <w:t>Conversion Eligibility Date</w:t>
      </w:r>
      <w:r>
        <w:rPr>
          <w:rFonts w:ascii="Times New Roman;Times;Serif" w:hAnsi="Times New Roman;Times;Serif"/>
          <w:b w:val="false"/>
          <w:i w:val="false"/>
          <w:caps w:val="false"/>
          <w:smallCaps w:val="false"/>
          <w:sz w:val="20"/>
        </w:rPr>
        <w:t>”). As used herein, “Record Date” means the record date established by the Seller for the stockholders’ meeting called to obtain the Stockholder Approval, which the Seller has agreed in the Purchase Agreement to set no earlier than three (3) Business Days after the Conversion Eligibility Date. From and after delivery of such notice and until the earlier of (x) the issuance of the Conversion Shares to Stockholder as holder of record and (y) the termination of this Agreement in accordance with Section 5.2, Stockholder shall not, directly or indirectly, rescind, revoke, withdraw, modify or otherwise take any action inconsistent with such blocker election notice, and shall not deliver any notice to the Seller or take any other action under the Certificate of Designations that would have the effect of reducing the Maximum Percentage below the Increased Maximum Percentage or otherwise impairing or delaying the conversion of the Preferred Stock into the Conversion Shares on the timeline contemplated by this Section 4.5.</w:t>
      </w:r>
    </w:p>
    <w:p>
      <w:pPr>
        <w:pStyle w:val="TextBody"/>
        <w:bidi w:val="0"/>
        <w:spacing w:before="0" w:after="0"/>
        <w:ind w:left="2220" w:right="0" w:hanging="0"/>
        <w:jc w:val="both"/>
        <w:rPr>
          <w:caps w:val="false"/>
          <w:smallCaps w:val="false"/>
        </w:rPr>
      </w:pPr>
      <w:r>
        <w:rPr>
          <w:caps w:val="false"/>
          <w:smallCaps w:val="false"/>
        </w:rPr>
        <w:t> </w:t>
      </w:r>
    </w:p>
    <w:p>
      <w:pPr>
        <w:pStyle w:val="TextBody"/>
        <w:bidi w:val="0"/>
        <w:spacing w:before="0" w:after="0"/>
        <w:ind w:left="22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22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Notice</w:t>
      </w:r>
      <w:r>
        <w:rPr>
          <w:rFonts w:ascii="Times New Roman;Times;Serif" w:hAnsi="Times New Roman;Times;Serif"/>
          <w:b w:val="false"/>
          <w:i w:val="false"/>
          <w:caps w:val="false"/>
          <w:smallCaps w:val="false"/>
          <w:sz w:val="20"/>
        </w:rPr>
        <w:t>. On the Conversion Eligibility Date, Stockholder shall deliver to the Seller a written notice of conversion in accordance with the Certificate of Designations, electing to convert that number of shares of Preferred Stock that would result in Stockholder and its Affiliates beneficially owning shares of Common Stock equal to the Increased Maximum Percentage of the outstanding shares of Common Stock (after giving effect to such conversion)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and shall take all actions reasonably necessary to facilitate the prompt issuance of the Conversion Shares by the Seller as promptly as practicable following delivery of such conversion notice.</w:t>
      </w:r>
    </w:p>
    <w:p>
      <w:pPr>
        <w:pStyle w:val="TextBody"/>
        <w:bidi w:val="0"/>
        <w:spacing w:before="0" w:after="0"/>
        <w:ind w:left="35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Voting of Conversion Shares</w:t>
      </w:r>
      <w:r>
        <w:rPr>
          <w:rFonts w:ascii="Times New Roman;Times;Serif" w:hAnsi="Times New Roman;Times;Serif"/>
          <w:b w:val="false"/>
          <w:i w:val="false"/>
          <w:caps w:val="false"/>
          <w:smallCaps w:val="false"/>
          <w:sz w:val="20"/>
        </w:rPr>
        <w:t>. From and after the date of issuance of the Conversion Shares to Stockholder as holder of record, such Conversion Shares shall constitute Stockholder Securities for all purposes of this Agreement. Stockholder shall take all actions necessary to ensure that Stockholder is the holder of record of the Conversion Shares on the Seller’s stock ledger as of the Record Date, including promptly effecting any registration or book-entry transfer required under the Certificate of Designations or applicable Law. Without limiting the generality of Section 1.1, Stockholder shall vote (or cause to be voted), in person or by proxy, all Conversion Shares in favor of the approval and adoption of the Purchase Agreement and the transactions contemplated thereby (including the Sale) at the stockholders’ meeting called to obtain the Stockholder Approval (and at any adjournment or postponement thereof), and shall not withdraw or modify any such vote.</w:t>
      </w:r>
    </w:p>
    <w:p>
      <w:pPr>
        <w:pStyle w:val="TextBody"/>
        <w:bidi w:val="0"/>
        <w:spacing w:before="0" w:after="0"/>
        <w:ind w:left="4039" w:right="0" w:hanging="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hereunder shall be in writing and shall be delivered personally, by email or sent by certified, registered or express air mail, postage prepaid, and shall be deemed given and delivered when so delivered personally, or if sent by email upon such transmission (so long as no bounce-back or delivery failure message is received), or if mailed by overnight courier service guaranteeing next day delivery, one (1) Business Day after deposited with such service, or if mailed in any other way, then three (3) Business Days after mailing, as follows: (i) if to Buyer, in accordance with the provisions of the Purchase Agreement and (ii) if to Stockholder, to Stockholder’s address or e-mail address set forth on a signature page hereto, or to such other address or e-mail address as Stockholder may hereafter specify in writing for the purpose by notice to Buyer.</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shall terminate automatically, without any notice or other action by any Person, upon the first to occur of (a) the valid termination of the Purchase Agreement in accordance with its terms, (b) the Closing (as defined in the Purchase Agreement), (c) the written consent of Stockholder and Buyer, (d) a Valid Adverse Recommendation Change, or (e) any amendment, modification or waiver of the Purchase Agreement that is materially adverse to Stockholder effected without Stockholder’s prior written consent (such consent not to be unreasonably withheld, conditioned or delayed). In addition, Stockholder may terminate this Agreement upon written notice to Buyer (i) at any time following the Termination Date (as defined in the Purchase Agreement) if the Closing has not occurred on or prior to such date, or (ii) upon any material breach by Buyer of its representations, warranties, covenants or agreements under this Agreement that, if curable, has not been cured within five (5) Business Days following written notice thereof from Stockholder;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sole reason the Closing has not occurred on or prior to the Termination Date is the failure to obtain the Stockholder Approval (as defined in the Purchase Agreement) at the stockholders’ meeting called for such purpose, and the Termination Date is extended for such purpose (such date, the “Extended Termination Date”), then such termination right shall not be exercisable until the Extended Termination Date, during which period Stockholder’s obligations under this Agreement shall continue in full force and effect through the Extended Termination Date; provided, further that the Extended Termination Date for purposes of this Agreement shall not be later than 30 calendar days from the Termination Date. Upon termination of this Agreement as to any Party, such Party shall not have any further obligations or liabilities under this Agreement; provided, however, that the provisions of this ARTICLE V shall survive any termination of this Agreement; provided, further, that no such termination shall relieve any Party from liability for any breach of this Agreement occurring prior to such termination.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Any provision of this Agreement may be amended or waived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and expenses incurred in connection herewith and the transactions contemplated hereby shall be paid by the Party incurring such fees or expenses, whether or not the Sale is consummated.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Notwithstanding anything to the contrary in this Agreement, in no event shall Stockholder’s aggregate liability to Buyer or any other Person under or in connection with this Agreement exceed the lesser of (a) the aggregate value of the Subject Shares (determined by reference to the closing price of the Common Stock on the trading day immediately preceding the date hereof) and (b) an amount equal to 9.99% of the Purchase Price (as defined in the Purchase Agreement). In no event shall Stockholder be liable for any consequential, indirect, incidental, special, punitive or exemplary damages, or for any lost profits, arising under or in connection with this Agreement, regardless of the form of action or the theory of liability. The foregoing limitation shall not apply to any liability arising from Stockholder’s intentional fraud, intentional breach of this Agreement, or willful misconduct.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Binding Effect; Benefit; Assignment</w:t>
      </w:r>
      <w:r>
        <w:rPr>
          <w:rFonts w:ascii="Times New Roman;Times;Serif" w:hAnsi="Times New Roman;Times;Serif"/>
          <w:b w:val="false"/>
          <w:i w:val="false"/>
          <w:caps w:val="false"/>
          <w:smallCaps w:val="false"/>
          <w:sz w:val="20"/>
        </w:rPr>
        <w:t xml:space="preserve">. Except as otherwise expressly provided herein, the Parties hereby agree that their respective representations, warranties and covenants set forth herein are solely for the benefit of the other Party,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except as provided in </w:t>
      </w:r>
      <w:r>
        <w:rPr>
          <w:rFonts w:ascii="Times New Roman;Times;Serif" w:hAnsi="Times New Roman;Times;Serif"/>
          <w:b w:val="false"/>
          <w:i w:val="false"/>
          <w:caps w:val="false"/>
          <w:smallCaps w:val="false"/>
          <w:sz w:val="20"/>
          <w:u w:val="single"/>
        </w:rPr>
        <w:t>Section 5.16</w:t>
      </w:r>
      <w:r>
        <w:rPr>
          <w:rFonts w:ascii="Times New Roman;Times;Serif" w:hAnsi="Times New Roman;Times;Serif"/>
          <w:b w:val="false"/>
          <w:i w:val="false"/>
          <w:caps w:val="false"/>
          <w:smallCaps w:val="false"/>
          <w:sz w:val="20"/>
        </w:rPr>
        <w:t xml:space="preserve"> (which will be to the benefit of the Persons referred to in such Section); provided, that the Seller may rely upon this Agreement and enforce the provisions hereof as an intended and express third-party beneficiary. Neither this Agreement nor any of the rights, interests or obligations hereunder shall be assigned by Stockholder (whether by operation of applicable Law or otherwise) without the prior written consent of Buyer; provided that, solely in connection with a Permitted Transfer, the Stockholder may assign this Agreement to any Affiliate of Stockholder to whom Stockholder has made such Permitted Transfer. Buyer may assign this Agreement, or any of its rights or interests hereunder, without the consent of Stockholder solely to an Affiliate of Buyer; provided, that any such assignee assumes in writing all of Buyer’s obligations hereunder; provided, further, that any such assignee shall be entitled to all of the rights, and subject to all of the obligations, of Buyer hereunder. No assignment by any Party shall relieve such Party of any of its obligations hereunder. Subject to the limitations regarding assignment herein, this Agreement will be binding upon, inure to the benefit of and be enforceable by the Parties and their respective successors and permitted assigns. Any purported assignment not permitted under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.6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This Agreement and all disputes or controversies arising out of or relating to this Agreement or the transactions contemplated hereby, including the applicable statute of limitations, shall be governed by and construed in accordance with the laws of the State of Delaware, without regard to the conflicts of law rules that would cause the application of law of any jurisdiction other than those of the State of Delaware. The Parties agree that any Action seeking to enforce any provision of, or based on any matter arising out of or in connection with, this Agreement or the transactions contemplated by this Agreement shall be brought and determined exclusively in the Court of Chancery of the State of Delaware or, if that court does not have subject matter jurisdiction, the state or federal courts in the State of Delaware (the “</w:t>
      </w:r>
      <w:r>
        <w:rPr>
          <w:rFonts w:ascii="Times New Roman;Times;Serif" w:hAnsi="Times New Roman;Times;Serif"/>
          <w:b w:val="false"/>
          <w:i w:val="false"/>
          <w:caps w:val="false"/>
          <w:smallCaps w:val="false"/>
          <w:sz w:val="20"/>
          <w:u w:val="single"/>
        </w:rPr>
        <w:t>Delaware Courts</w:t>
      </w:r>
      <w:r>
        <w:rPr>
          <w:rFonts w:ascii="Times New Roman;Times;Serif" w:hAnsi="Times New Roman;Times;Serif"/>
          <w:b w:val="false"/>
          <w:i w:val="false"/>
          <w:caps w:val="false"/>
          <w:smallCaps w:val="false"/>
          <w:sz w:val="20"/>
        </w:rPr>
        <w:t xml:space="preserve">”). Each Party hereby irrevocably submits to the exclusive jurisdiction of the Delaware Courts in respect of any legal or equitable Action arising out of or relating to this Agreement or the transactions contemplated by this Agreement, or relating to enforcement of any of the terms of this Agreement, and hereby waives, and agrees not to assert, as a defense in any such Action, any claim that it is not subject personally to the jurisdiction of such court, that the Action is brought in an inconvenient forum, that the venue of the Action is improper or that this Agreement or the transactions contemplated by this Agreement may not be enforced in or by such courts. Each Party agrees that notice or the service of process in any Action arising out of or relating to this Agreement or the transactions contemplated by this Agreement shall be properly served or delivered if delivered in the manner contemplated by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or in any other manner permitted by law. EACH OF THE PARTIES HEREBY IRREVOCABLY WAIVES ANY AND ALL RIGHT TO TRIAL BY JURY IN ANY LEGAL PROCEEDING ARISING OUT OF OR RELATED TO THIS AGREEMENT OR THE TRANSACTIONS CONTEMPLATED BY THIS AGREEMENT. EACH OF THE PARTIES HEREBY (A) CERTIFIES THAT NO REPRESENTATIVE, AGENT OR ATTORNEY OF ANY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35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Enforcement of Agreement</w:t>
      </w:r>
      <w:r>
        <w:rPr>
          <w:rFonts w:ascii="Times New Roman;Times;Serif" w:hAnsi="Times New Roman;Times;Serif"/>
          <w:b w:val="false"/>
          <w:i w:val="false"/>
          <w:caps w:val="false"/>
          <w:smallCaps w:val="false"/>
          <w:sz w:val="20"/>
        </w:rPr>
        <w:t xml:space="preserve">. The Parties agree that irreparable harm would occur in the event that any of the provisions of this Agreement were not performed in accordance with their specific terms or were otherwise breached, and that money damages or other legal remedies would not be an adequate remedy for any such harm. It is accordingly agreed that the Parties shall be entitled to an injunction or injunctions, or any other appropriate form of specific performance or equitable relief, to prevent breaches or threatened breaches of this Agreement and to enforce specifically the terms and provisions of this Agreement in any court to which the Parties have submitted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7, without bond or other security being required, this being in addition to any other remedy to which they are entitled at law or in equity. Each of the Parties agrees that it will not oppose the granting of an injunction, specific performance or other equitable relief on the basis that any other of such parties has an adequate remedy at law or that any such injunction or award of specific performance or other equitable relief is not an appropriate remedy for any reason.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several counterparts, each of which shall be deemed an original and all of which shall be one (1) and the same instrument. Delivery of an executed counterpart hereof by facsimile or other electronic transmission (including email or any electronic signature complying with the U.S. federal ESIGN Act of 2000,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shall be effective as delivery of an original counterpart hereof.</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other documents and instruments referred to herein, constitute the entire agreement, and supersede all prior agreements and understandings, both written and oral, among the Parties hereto and their Affiliates, or any of them, related to the subject matter hereof.</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determined by a court of competent jurisdiction to be invalid, illegal or incapable of being enforced by any rule or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contained in this Agreement are for reference purposes only and shall not affect in any way the meaning or interpretation of this Agreement.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Unless the context otherwise requires, as used in this Agreement: (a) “or” is not exclusive; (b) “including” and its variants mean “including, without limitation” and its variants; (c) words defined in the singular have the parallel meaning in the plural and vice versa; (d) words of one gender shall be construed to apply to each gender; and (e) the terms “Article,” “Section” and “Schedule” refer to the specified Article, Section or Schedule of or to this Agreement; and (f) neither the Seller nor any of its Subsidiaries shall be construed to be a Subsidiary or Affiliate of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This Agreement shall not be effective unless and until (i) the Purchase Agreement is executed by all parties thereto and (ii) this Agreement is executed and delivered by all Parties.</w:t>
      </w:r>
    </w:p>
    <w:p>
      <w:pPr>
        <w:pStyle w:val="TextBody"/>
        <w:bidi w:val="0"/>
        <w:spacing w:before="0" w:after="0"/>
        <w:ind w:left="35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Buyer or any other Person any direct or indirect ownership or incidence of ownership of or with respect to the Subject Shares. All rights, ownership and economic benefits of and relating to the Subject Shares shall remain vested in and belong to Stockholder, and Buyer shall not exercise any power or authority to direct Stockholder in the voting of any of the Subject Shares, except as otherwise expressly provided herein. This Agreement shall in no way be deemed to constitute a transfer of any Stockholder Securities.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Notwithstanding anything that may be expressed or implied in this Agreement, or any document, certificate or instrument delivered in connection herewith or otherwise (together,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each Party acknowledges and agrees, on behalf of itself and its respective Related Persons (as defined below), that all Actions that may be based upon, in respect of, arise under, out of, by reason of, be connected with, or relate in any manner to (a) this Agreement or any Transaction Document or the transactions contemplated hereby or thereby, (b) the negotiation, execution or performance of this Agreement or any other Transaction Document (including any representation or warranty made in, in connection with, or as an inducement to, any of the foregoing documents), (c) any breach or violation of this Agreement or any other Transaction Document or (d) the failure of the transactions set forth in this Agreement or any Transaction Document to be consummated, in each case may be made only against (and are those solely of) the Persons that are expressly identified parties to this Agreement or to such Transaction Document (as applicable). In furtherance and not in limitation of the foregoing, each Party acknowledges and agrees, on behalf of itself and its respective Related Persons, that no recourse under this Agreement or any other Transaction Document or in connection with any transactions contemplated hereby or thereby shall be sought or had against any such other Person and no such other Person shall have any liabilities (whether in contract or in tort, in law or in equity or otherwise, or granted by statute or otherwise, whether by or through attempted piercing of the corporate, partnership, limited partnership or limited liability company veil or any other theory or doctrine) of any nature whatsoever arising under, out of, in connection with or related in any manner to the items in the preceding clauses (a) through (d), it being expressly agreed and acknowledged that no liabilities whatsoever shall attach to, be imposed on or otherwise be incurred by any direct or indirect, past, present or future shareholder, equity holder, controlling person, member, partner (limited or general), manager, director, officer, employee, lender, financing source, Affiliate, agent or other representative of any Person or any Affiliate of such Person (collectively, with such Person’s assignees, successors and assigns, the “</w:t>
      </w:r>
      <w:r>
        <w:rPr>
          <w:rFonts w:ascii="Times New Roman;Times;Serif" w:hAnsi="Times New Roman;Times;Serif"/>
          <w:b w:val="false"/>
          <w:i w:val="false"/>
          <w:caps w:val="false"/>
          <w:smallCaps w:val="false"/>
          <w:sz w:val="20"/>
          <w:u w:val="single"/>
        </w:rPr>
        <w:t>Related Persons</w:t>
      </w:r>
      <w:r>
        <w:rPr>
          <w:rFonts w:ascii="Times New Roman;Times;Serif" w:hAnsi="Times New Roman;Times;Serif"/>
          <w:b w:val="false"/>
          <w:i w:val="false"/>
          <w:caps w:val="false"/>
          <w:smallCaps w:val="false"/>
          <w:sz w:val="20"/>
        </w:rPr>
        <w:t xml:space="preserve">”), through the Company, its Subsidiaries or otherwise, whether by or through attempted piercing of the corporate, partnership, limited partnership or limited liability company veil, by or through a claim by or on behalf of any party hereto, as applicable, by the enforcement of any assessment or by any legal or equitable actions, suits, claims, investigations or Actions, by virtue of any applicable Law, or otherwise. The Parties acknowledge and agree that the Related Persons are intended third-party beneficiaries of this </w:t>
      </w:r>
      <w:r>
        <w:rPr>
          <w:rFonts w:ascii="Times New Roman;Times;Serif" w:hAnsi="Times New Roman;Times;Serif"/>
          <w:b w:val="false"/>
          <w:i w:val="false"/>
          <w:caps w:val="false"/>
          <w:smallCaps w:val="false"/>
          <w:sz w:val="20"/>
          <w:u w:val="single"/>
        </w:rPr>
        <w:t>Section 5.16</w:t>
      </w:r>
      <w:r>
        <w:rPr>
          <w:rFonts w:ascii="Times New Roman;Times;Serif" w:hAnsi="Times New Roman;Times;Serif"/>
          <w:b w:val="false"/>
          <w:i w:val="false"/>
          <w:caps w:val="false"/>
          <w:smallCaps w:val="false"/>
          <w:sz w:val="20"/>
        </w:rPr>
        <w:t>. Nothing in this Agreement precludes the Parties or any Related Persons from exercising any rights under the Purchase Agreement or any other agreement to which they are specifically a party or an express third-party beneficiary thereof, and nothing in this Agreement shall limit the liability or obligations of any Related Person under any other agreement to which they are specifically a party.</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94" w:right="0" w:firstLine="68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Parties has executed this Agreement on the date set forth in the introductory clause above.</w:t>
      </w:r>
    </w:p>
    <w:p>
      <w:pPr>
        <w:pStyle w:val="TextBody"/>
        <w:bidi w:val="0"/>
        <w:spacing w:before="0" w:after="0"/>
        <w:ind w:left="94" w:right="0" w:firstLine="689"/>
        <w:jc w:val="both"/>
        <w:rPr>
          <w:caps w:val="false"/>
          <w:smallCaps w:val="false"/>
        </w:rPr>
      </w:pPr>
      <w:r>
        <w:rPr>
          <w:caps w:val="false"/>
          <w:smallCaps w:val="false"/>
        </w:rPr>
        <w:t> </w:t>
      </w:r>
    </w:p>
    <w:tbl>
      <w:tblPr>
        <w:tblW w:w="4174" w:type="dxa"/>
        <w:jc w:val="left"/>
        <w:tblInd w:w="0" w:type="dxa"/>
        <w:tblLayout w:type="fixed"/>
        <w:tblCellMar>
          <w:top w:w="0" w:type="dxa"/>
          <w:left w:w="0" w:type="dxa"/>
          <w:bottom w:w="0" w:type="dxa"/>
          <w:right w:w="0" w:type="dxa"/>
        </w:tblCellMar>
      </w:tblPr>
      <w:tblGrid>
        <w:gridCol w:w="75"/>
        <w:gridCol w:w="1176"/>
        <w:gridCol w:w="2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 WELLNESS GROUP, LLC, AS BUYER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6" w:type="dxa"/>
            <w:tcBorders/>
            <w:vAlign w:val="center"/>
          </w:tcPr>
          <w:p>
            <w:pPr>
              <w:pStyle w:val="TableContents"/>
              <w:bidi w:val="0"/>
              <w:spacing w:before="0" w:after="283"/>
              <w:jc w:val="left"/>
              <w:rPr>
                <w:caps w:val="false"/>
                <w:smallCaps w:val="false"/>
              </w:rPr>
            </w:pPr>
            <w:r>
              <w:rPr>
                <w:caps w:val="false"/>
                <w:smallCaps w:val="false"/>
              </w:rPr>
              <w:t> </w:t>
            </w:r>
          </w:p>
        </w:tc>
        <w:tc>
          <w:tcPr>
            <w:tcW w:w="29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2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Gregory Gish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Gish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0"/>
        <w:ind w:left="4238" w:right="0" w:hanging="1"/>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Support Agreement (American Ventures)]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75"/>
        <w:gridCol w:w="1292"/>
        <w:gridCol w:w="32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VENTURES LLC, SERIES XXIV XWELL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2" w:type="dxa"/>
            <w:tcBorders/>
            <w:vAlign w:val="center"/>
          </w:tcPr>
          <w:p>
            <w:pPr>
              <w:pStyle w:val="TableContents"/>
              <w:bidi w:val="0"/>
              <w:spacing w:before="0" w:after="283"/>
              <w:jc w:val="left"/>
              <w:rPr>
                <w:caps w:val="false"/>
                <w:smallCaps w:val="false"/>
              </w:rPr>
            </w:pPr>
            <w:r>
              <w:rPr>
                <w:caps w:val="false"/>
                <w:smallCaps w:val="false"/>
              </w:rPr>
              <w:t> </w:t>
            </w:r>
          </w:p>
        </w:tc>
        <w:tc>
          <w:tcPr>
            <w:tcW w:w="32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Manager, American Ventures Management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2" w:type="dxa"/>
            <w:tcBorders/>
            <w:vAlign w:val="center"/>
          </w:tcPr>
          <w:p>
            <w:pPr>
              <w:pStyle w:val="TableContents"/>
              <w:bidi w:val="0"/>
              <w:spacing w:before="0" w:after="283"/>
              <w:jc w:val="left"/>
              <w:rPr>
                <w:caps w:val="false"/>
                <w:smallCaps w:val="false"/>
              </w:rPr>
            </w:pPr>
            <w:r>
              <w:rPr>
                <w:caps w:val="false"/>
                <w:smallCaps w:val="false"/>
              </w:rPr>
              <w:t> </w:t>
            </w:r>
          </w:p>
        </w:tc>
        <w:tc>
          <w:tcPr>
            <w:tcW w:w="32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1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Eric Newman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Newman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04" w:type="dxa"/>
            <w:gridSpan w:val="2"/>
            <w:vMerge w:val="restart"/>
            <w:tcBorders/>
            <w:vAlign w:val="center"/>
          </w:tcPr>
          <w:p>
            <w:pPr>
              <w:pStyle w:val="TableContents"/>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3835 PGA Boulevard, Suite 103 Palm</w:t>
              <w:br/>
              <w:t>  Beach Gardens, FL 33410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enewman@dominarisecurities.com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04" w:type="dxa"/>
            <w:gridSpan w:val="2"/>
            <w:vMerge w:val="continue"/>
            <w:tcBorders/>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12596</Words>
  <Characters>67796</Characters>
  <CharactersWithSpaces>80270</CharactersWithSpaces>
  <Paragraphs>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