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621012d3_8k.htm"/>
      <w:bookmarkStart w:id="1" w:name="kstm2621012d3_8k"/>
      <w:bookmarkEnd w:id="0"/>
      <w:bookmarkEnd w:id="1"/>
      <w:r>
        <w:rPr>
          <w:bdr w:val="single" w:sz="16" w:space="1" w:color="000000"/>
        </w:rPr>
        <w:t> </w:t>
      </w:r>
    </w:p>
    <w:p>
      <w:pPr>
        <w:pStyle w:val="TextBody"/>
        <w:bidi w:val="0"/>
        <w:spacing w:before="0" w:after="0"/>
        <w:ind w:left="0" w:right="0" w:firstLine="2612"/>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Washington, DC 20549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1_edei--DocumentType_c20261008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the Securities Exchange Act Of </w:t>
      </w:r>
      <w:r>
        <w:rPr>
          <w:rFonts w:ascii="Times New Roman;Times;Serif" w:hAnsi="Times New Roman;Times;Serif"/>
          <w:b/>
          <w:i w:val="false"/>
          <w:caps/>
          <w:sz w:val="20"/>
        </w:rPr>
        <w:t>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4_edei--DocumentPeriodEndDate_c202"/>
      <w:bookmarkEnd w:id="3"/>
      <w:r>
        <w:rPr>
          <w:rFonts w:ascii="Times New Roman;Times;Serif" w:hAnsi="Times New Roman;Times;Serif"/>
          <w:b/>
          <w:i w:val="false"/>
          <w:caps w:val="false"/>
          <w:smallCaps w:val="false"/>
          <w:sz w:val="20"/>
        </w:rPr>
        <w:t>October 8, 2026</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val="false"/>
          <w:smallCaps w:val="false"/>
          <w:sz w:val="36"/>
        </w:rPr>
      </w:pPr>
      <w:bookmarkStart w:id="4" w:name="xdx_909_edei--EntityRegistrantName_c2026"/>
      <w:bookmarkEnd w:id="4"/>
      <w:r>
        <w:rPr>
          <w:rFonts w:ascii="Times New Roman;Times;Serif" w:hAnsi="Times New Roman;Times;Serif"/>
          <w:b/>
          <w:i w:val="false"/>
          <w:caps w:val="false"/>
          <w:smallCaps w:val="false"/>
          <w:sz w:val="36"/>
        </w:rPr>
        <w:t>XWELL,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bookmarkStart w:id="5" w:name="xdx_90D_edei--EntityIncorporationStateCo"/>
      <w:bookmarkEnd w:id="5"/>
      <w:r>
        <w:rPr>
          <w:rFonts w:ascii="Times New Roman;Times;Serif" w:hAnsi="Times New Roman;Times;Serif"/>
          <w:b/>
          <w:i w:val="false"/>
          <w:caps w:val="false"/>
          <w:smallCaps w:val="false"/>
          <w:sz w:val="20"/>
        </w:rPr>
        <w:t>Delaware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p>
      <w:pPr>
        <w:pStyle w:val="TextBody"/>
        <w:bidi w:val="0"/>
        <w:spacing w:before="0" w:after="0"/>
        <w:ind w:left="0" w:right="0" w:hanging="0"/>
        <w:jc w:val="both"/>
        <w:rPr>
          <w:caps w:val="false"/>
          <w:smallCaps w:val="false"/>
        </w:rPr>
      </w:pPr>
      <w:r>
        <w:rPr>
          <w:caps w:val="false"/>
          <w:smallCaps w:val="false"/>
        </w:rPr>
        <w:t> </w:t>
      </w:r>
    </w:p>
    <w:tbl>
      <w:tblPr>
        <w:tblW w:w="5065" w:type="dxa"/>
        <w:jc w:val="left"/>
        <w:tblInd w:w="0" w:type="dxa"/>
        <w:tblLayout w:type="fixed"/>
        <w:tblCellMar>
          <w:top w:w="0" w:type="dxa"/>
          <w:left w:w="0" w:type="dxa"/>
          <w:bottom w:w="28" w:type="dxa"/>
          <w:right w:w="0" w:type="dxa"/>
        </w:tblCellMar>
      </w:tblPr>
      <w:tblGrid>
        <w:gridCol w:w="2225"/>
        <w:gridCol w:w="60"/>
        <w:gridCol w:w="2780"/>
      </w:tblGrid>
      <w:tr>
        <w:trPr/>
        <w:tc>
          <w:tcPr>
            <w:tcW w:w="2225" w:type="dxa"/>
            <w:tcBorders>
              <w:bottom w:val="single" w:sz="8" w:space="0" w:color="000000"/>
            </w:tcBorders>
            <w:vAlign w:val="center"/>
          </w:tcPr>
          <w:p>
            <w:pPr>
              <w:pStyle w:val="TableContents"/>
              <w:bidi w:val="0"/>
              <w:spacing w:before="0" w:after="283"/>
              <w:jc w:val="center"/>
              <w:rPr>
                <w:b/>
                <w:sz w:val="20"/>
              </w:rPr>
            </w:pPr>
            <w:bookmarkStart w:id="6" w:name="xdx_902_edei--EntityFileNumber_c20261008"/>
            <w:bookmarkEnd w:id="6"/>
            <w:r>
              <w:rPr>
                <w:b/>
                <w:sz w:val="20"/>
              </w:rPr>
              <w:t>001-34785</w:t>
            </w:r>
          </w:p>
        </w:tc>
        <w:tc>
          <w:tcPr>
            <w:tcW w:w="60" w:type="dxa"/>
            <w:tcBorders/>
            <w:tcMar>
              <w:bottom w:w="0" w:type="dxa"/>
            </w:tcMar>
            <w:vAlign w:val="center"/>
          </w:tcPr>
          <w:p>
            <w:pPr>
              <w:pStyle w:val="TableContents"/>
              <w:bidi w:val="0"/>
              <w:spacing w:before="0" w:after="283"/>
              <w:jc w:val="left"/>
              <w:rPr/>
            </w:pPr>
            <w:r>
              <w:rPr/>
              <w:t> </w:t>
            </w:r>
          </w:p>
        </w:tc>
        <w:tc>
          <w:tcPr>
            <w:tcW w:w="2780" w:type="dxa"/>
            <w:tcBorders>
              <w:bottom w:val="single" w:sz="8" w:space="0" w:color="000000"/>
            </w:tcBorders>
            <w:vAlign w:val="center"/>
          </w:tcPr>
          <w:p>
            <w:pPr>
              <w:pStyle w:val="TableContents"/>
              <w:bidi w:val="0"/>
              <w:spacing w:before="0" w:after="283"/>
              <w:jc w:val="center"/>
              <w:rPr>
                <w:b/>
                <w:sz w:val="20"/>
              </w:rPr>
            </w:pPr>
            <w:bookmarkStart w:id="7" w:name="xdx_90C_edei--EntityTaxIdentificationNum"/>
            <w:bookmarkEnd w:id="7"/>
            <w:r>
              <w:rPr>
                <w:b/>
                <w:sz w:val="20"/>
              </w:rPr>
              <w:t>20-4988129</w:t>
            </w:r>
          </w:p>
        </w:tc>
      </w:tr>
      <w:tr>
        <w:trPr/>
        <w:tc>
          <w:tcPr>
            <w:tcW w:w="2225"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2780" w:type="dxa"/>
            <w:tcBorders/>
            <w:tcMar>
              <w:bottom w:w="0" w:type="dxa"/>
            </w:tcMar>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ind w:left="0" w:right="0" w:hanging="0"/>
        <w:jc w:val="both"/>
        <w:rPr>
          <w:caps w:val="false"/>
          <w:smallCaps w:val="false"/>
        </w:rPr>
      </w:pPr>
      <w:r>
        <w:rPr>
          <w:caps w:val="false"/>
          <w:smallCaps w:val="false"/>
        </w:rPr>
        <w:t> </w:t>
      </w:r>
    </w:p>
    <w:tbl>
      <w:tblPr>
        <w:tblW w:w="6280" w:type="dxa"/>
        <w:jc w:val="left"/>
        <w:tblInd w:w="0" w:type="dxa"/>
        <w:tblLayout w:type="fixed"/>
        <w:tblCellMar>
          <w:top w:w="0" w:type="dxa"/>
          <w:left w:w="0" w:type="dxa"/>
          <w:bottom w:w="28" w:type="dxa"/>
          <w:right w:w="0" w:type="dxa"/>
        </w:tblCellMar>
      </w:tblPr>
      <w:tblGrid>
        <w:gridCol w:w="5300"/>
        <w:gridCol w:w="60"/>
        <w:gridCol w:w="920"/>
      </w:tblGrid>
      <w:tr>
        <w:trPr/>
        <w:tc>
          <w:tcPr>
            <w:tcW w:w="5300" w:type="dxa"/>
            <w:tcBorders>
              <w:bottom w:val="single" w:sz="8" w:space="0" w:color="000000"/>
            </w:tcBorders>
            <w:vAlign w:val="center"/>
          </w:tcPr>
          <w:p>
            <w:pPr>
              <w:pStyle w:val="TableContents"/>
              <w:bidi w:val="0"/>
              <w:spacing w:before="0" w:after="283"/>
              <w:jc w:val="center"/>
              <w:rPr/>
            </w:pPr>
            <w:bookmarkStart w:id="8" w:name="xdx_907_edei--EntityAddressAddressLine1_"/>
            <w:bookmarkEnd w:id="8"/>
            <w:r>
              <w:rPr>
                <w:b/>
                <w:sz w:val="20"/>
              </w:rPr>
              <w:t>254 West 31st Street</w:t>
            </w:r>
            <w:r>
              <w:rPr>
                <w:b/>
              </w:rPr>
              <w:t xml:space="preserve">, </w:t>
            </w:r>
            <w:bookmarkStart w:id="9" w:name="xdx_904_edei--EntityAddressAddressLine2_"/>
            <w:bookmarkEnd w:id="9"/>
            <w:r>
              <w:rPr>
                <w:b/>
              </w:rPr>
              <w:t xml:space="preserve">11th Floor, </w:t>
            </w:r>
            <w:bookmarkStart w:id="10" w:name="xdx_90D_edei--EntityAddressCityOrTown_c2"/>
            <w:bookmarkEnd w:id="10"/>
            <w:r>
              <w:rPr>
                <w:b/>
              </w:rPr>
              <w:t xml:space="preserve">New York, </w:t>
            </w:r>
            <w:bookmarkStart w:id="11" w:name="xdx_906_edei--EntityAddressStateOrProvin"/>
            <w:bookmarkEnd w:id="11"/>
            <w:r>
              <w:rPr>
                <w:b/>
              </w:rPr>
              <w:t>New York</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8" w:space="0" w:color="000000"/>
            </w:tcBorders>
            <w:vAlign w:val="center"/>
          </w:tcPr>
          <w:p>
            <w:pPr>
              <w:pStyle w:val="TableContents"/>
              <w:bidi w:val="0"/>
              <w:spacing w:before="0" w:after="283"/>
              <w:jc w:val="center"/>
              <w:rPr>
                <w:b/>
                <w:sz w:val="20"/>
              </w:rPr>
            </w:pPr>
            <w:bookmarkStart w:id="12" w:name="xdx_90C_edei--EntityAddressPostalZipCode"/>
            <w:bookmarkEnd w:id="12"/>
            <w:r>
              <w:rPr>
                <w:b/>
                <w:sz w:val="20"/>
              </w:rPr>
              <w:t>10001</w:t>
            </w:r>
          </w:p>
        </w:tc>
      </w:tr>
      <w:tr>
        <w:trPr/>
        <w:tc>
          <w:tcPr>
            <w:tcW w:w="5300"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3" w:name="xdx_909_edei--CityAreaCode_c20261008__20"/>
      <w:bookmarkEnd w:id="13"/>
      <w:r>
        <w:rPr>
          <w:rFonts w:ascii="Times New Roman;Times;Serif" w:hAnsi="Times New Roman;Times;Serif"/>
          <w:b/>
          <w:i w:val="false"/>
          <w:caps w:val="false"/>
          <w:smallCaps w:val="false"/>
          <w:sz w:val="20"/>
        </w:rPr>
        <w:t xml:space="preserve">212) </w:t>
      </w:r>
      <w:bookmarkStart w:id="14" w:name="xdx_902_edei--LocalPhoneNumber_c20261008"/>
      <w:bookmarkEnd w:id="14"/>
      <w:r>
        <w:rPr>
          <w:rFonts w:ascii="Times New Roman;Times;Serif" w:hAnsi="Times New Roman;Times;Serif"/>
          <w:b/>
          <w:i w:val="false"/>
          <w:caps w:val="false"/>
          <w:smallCaps w:val="false"/>
          <w:sz w:val="20"/>
        </w:rPr>
        <w:t>750-9595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5" w:name="xdx_901_edei--WrittenCommunications_c202"/>
            <w:bookmarkEnd w:id="15"/>
            <w:r>
              <w:rPr/>
              <w:t>☐</w:t>
            </w:r>
          </w:p>
        </w:tc>
        <w:tc>
          <w:tcPr>
            <w:tcW w:w="906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4_edei--SolicitingMaterial_c202610"/>
            <w:bookmarkEnd w:id="16"/>
            <w:r>
              <w:rPr/>
              <w:t>☐</w:t>
            </w:r>
          </w:p>
        </w:tc>
        <w:tc>
          <w:tcPr>
            <w:tcW w:w="906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5_edei--PreCommencementTenderOffer"/>
            <w:bookmarkEnd w:id="17"/>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8" w:name="xdx_90C_edei--PreCommencementIssuerTende"/>
            <w:bookmarkEnd w:id="18"/>
            <w:r>
              <w:rPr/>
              <w:t>☐</w:t>
            </w:r>
          </w:p>
        </w:tc>
        <w:tc>
          <w:tcPr>
            <w:tcW w:w="906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144" w:right="144" w:hanging="0"/>
        <w:jc w:val="left"/>
        <w:rPr>
          <w:caps w:val="false"/>
          <w:smallCaps w:val="false"/>
        </w:rPr>
      </w:pPr>
      <w:r>
        <w:rPr>
          <w:caps w:val="false"/>
          <w:smallCaps w:val="false"/>
        </w:rPr>
        <w:t> </w:t>
      </w:r>
    </w:p>
    <w:tbl>
      <w:tblPr>
        <w:tblW w:w="8850" w:type="dxa"/>
        <w:jc w:val="left"/>
        <w:tblInd w:w="0" w:type="dxa"/>
        <w:tblLayout w:type="fixed"/>
        <w:tblCellMar>
          <w:top w:w="0" w:type="dxa"/>
          <w:left w:w="0" w:type="dxa"/>
          <w:bottom w:w="28" w:type="dxa"/>
          <w:right w:w="0" w:type="dxa"/>
        </w:tblCellMar>
      </w:tblPr>
      <w:tblGrid>
        <w:gridCol w:w="3410"/>
        <w:gridCol w:w="60"/>
        <w:gridCol w:w="1610"/>
        <w:gridCol w:w="60"/>
        <w:gridCol w:w="3710"/>
      </w:tblGrid>
      <w:tr>
        <w:trPr/>
        <w:tc>
          <w:tcPr>
            <w:tcW w:w="3410"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410" w:type="dxa"/>
            <w:tcBorders/>
            <w:tcMar>
              <w:bottom w:w="0" w:type="dxa"/>
            </w:tcMar>
            <w:vAlign w:val="center"/>
          </w:tcPr>
          <w:p>
            <w:pPr>
              <w:pStyle w:val="TableContents"/>
              <w:bidi w:val="0"/>
              <w:spacing w:before="0" w:after="283"/>
              <w:jc w:val="center"/>
              <w:rPr>
                <w:sz w:val="20"/>
              </w:rPr>
            </w:pPr>
            <w:bookmarkStart w:id="19" w:name="xdx_90D_edei--Security12bTitle_c20261008"/>
            <w:bookmarkEnd w:id="19"/>
            <w:r>
              <w:rPr>
                <w:sz w:val="20"/>
              </w:rPr>
              <w:t>Common Stock, par value $0.01 per share</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sz w:val="20"/>
              </w:rPr>
            </w:pPr>
            <w:bookmarkStart w:id="20" w:name="xdx_904_edei--TradingSymbol_c20261008__2"/>
            <w:bookmarkEnd w:id="20"/>
            <w:r>
              <w:rPr>
                <w:sz w:val="20"/>
              </w:rPr>
              <w:t>XWEL</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sz w:val="20"/>
              </w:rPr>
            </w:pPr>
            <w:bookmarkStart w:id="21" w:name="xdx_901_edei--SecurityExchangeName_c2026"/>
            <w:bookmarkEnd w:id="21"/>
            <w:r>
              <w:rPr>
                <w:sz w:val="20"/>
              </w:rPr>
              <w:t>The Nasdaq Stock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E_edei--EntityEmergingGrowthCompan"/>
      <w:bookmarkEnd w:id="22"/>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785"/>
        <w:gridCol w:w="3740"/>
      </w:tblGrid>
      <w:tr>
        <w:trPr/>
        <w:tc>
          <w:tcPr>
            <w:tcW w:w="785" w:type="dxa"/>
            <w:tcBorders/>
            <w:vAlign w:val="center"/>
          </w:tcPr>
          <w:p>
            <w:pPr>
              <w:pStyle w:val="TableContents"/>
              <w:bidi w:val="0"/>
              <w:spacing w:before="0" w:after="283"/>
              <w:jc w:val="left"/>
              <w:rPr>
                <w:b/>
                <w:sz w:val="20"/>
              </w:rPr>
            </w:pPr>
            <w:r>
              <w:rPr>
                <w:b/>
                <w:sz w:val="20"/>
              </w:rPr>
              <w:t>Item1.01</w:t>
            </w:r>
          </w:p>
        </w:tc>
        <w:tc>
          <w:tcPr>
            <w:tcW w:w="3740" w:type="dxa"/>
            <w:tcBorders/>
            <w:vAlign w:val="center"/>
          </w:tcPr>
          <w:p>
            <w:pPr>
              <w:pStyle w:val="TableContents"/>
              <w:bidi w:val="0"/>
              <w:spacing w:before="0" w:after="283"/>
              <w:jc w:val="both"/>
              <w:rPr>
                <w:b/>
                <w:sz w:val="20"/>
              </w:rPr>
            </w:pPr>
            <w:r>
              <w:rPr>
                <w:b/>
                <w:sz w:val="20"/>
              </w:rPr>
              <w:t>Entry into a Material Definitive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8, 2026, XpresTest, Inc. (“</w:t>
      </w:r>
      <w:r>
        <w:rPr>
          <w:rFonts w:ascii="Times New Roman;Times;Serif" w:hAnsi="Times New Roman;Times;Serif"/>
          <w:b/>
          <w:i/>
          <w:caps w:val="false"/>
          <w:smallCaps w:val="false"/>
          <w:sz w:val="20"/>
        </w:rPr>
        <w:t>XpresTest</w:t>
      </w:r>
      <w:r>
        <w:rPr>
          <w:rFonts w:ascii="Times New Roman;Times;Serif" w:hAnsi="Times New Roman;Times;Serif"/>
          <w:b w:val="false"/>
          <w:i w:val="false"/>
          <w:caps w:val="false"/>
          <w:smallCaps w:val="false"/>
          <w:sz w:val="20"/>
        </w:rPr>
        <w:t>”), a Delaware corporation and a subsidiary of XWELL, Inc., a Delaware corporation (“</w:t>
      </w:r>
      <w:r>
        <w:rPr>
          <w:rFonts w:ascii="Times New Roman;Times;Serif" w:hAnsi="Times New Roman;Times;Serif"/>
          <w:b/>
          <w:i/>
          <w:caps w:val="false"/>
          <w:smallCaps w:val="false"/>
          <w:sz w:val="20"/>
        </w:rPr>
        <w:t>XWELL</w:t>
      </w:r>
      <w:r>
        <w:rPr>
          <w:rFonts w:ascii="Times New Roman;Times;Serif" w:hAnsi="Times New Roman;Times;Serif"/>
          <w:b w:val="false"/>
          <w:i w:val="false"/>
          <w:caps w:val="false"/>
          <w:smallCaps w:val="false"/>
          <w:sz w:val="20"/>
        </w:rPr>
        <w:t>”), repurchased 279.5 shares of XpresTest’s common stock, which had previously been granted as restricted stock awards under the XpresTest, Inc. 2020 Equity Incentive Plan (the “</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or outside the Plan (collectively, the “</w:t>
      </w:r>
      <w:r>
        <w:rPr>
          <w:rFonts w:ascii="Times New Roman;Times;Serif" w:hAnsi="Times New Roman;Times;Serif"/>
          <w:b/>
          <w:i/>
          <w:caps w:val="false"/>
          <w:smallCaps w:val="false"/>
          <w:sz w:val="20"/>
        </w:rPr>
        <w:t>XpresTest RSAs</w:t>
      </w:r>
      <w:r>
        <w:rPr>
          <w:rFonts w:ascii="Times New Roman;Times;Serif" w:hAnsi="Times New Roman;Times;Serif"/>
          <w:b w:val="false"/>
          <w:i w:val="false"/>
          <w:caps w:val="false"/>
          <w:smallCaps w:val="false"/>
          <w:sz w:val="20"/>
        </w:rPr>
        <w:t>”) for an aggregate cash payment of approximately $2.7 million, or $9,634.09 per share. These repurchases (the “</w:t>
      </w:r>
      <w:r>
        <w:rPr>
          <w:rFonts w:ascii="Times New Roman;Times;Serif" w:hAnsi="Times New Roman;Times;Serif"/>
          <w:b/>
          <w:i/>
          <w:caps w:val="false"/>
          <w:smallCaps w:val="false"/>
          <w:sz w:val="20"/>
        </w:rPr>
        <w:t>XpresTest RSA Repurchases</w:t>
      </w:r>
      <w:r>
        <w:rPr>
          <w:rFonts w:ascii="Times New Roman;Times;Serif" w:hAnsi="Times New Roman;Times;Serif"/>
          <w:b w:val="false"/>
          <w:i w:val="false"/>
          <w:caps w:val="false"/>
          <w:smallCaps w:val="false"/>
          <w:sz w:val="20"/>
        </w:rPr>
        <w:t>”) included 107 XpresTest RSAs held by Bruce T. Bernstein, Chairman of the Board, for $1,030,847.61; 55 XpresTest RSAs held by Ezra T. Ernst, President and Chief Executive Officer, for $529,874.94; and 10 XpresTest RSAs held by Ian Brown, Chief Financial Officer, for $96,340.90, five of which vested in connection with the repurchase in accordance with the terms of the Plan. The remaining 107.5 XpresTest RSAs were held by five other current or former employees and service providers of XpresTest. In connection with the XpresTest RSA Repurchases, any XpresTest RSAs that had not previously vested became fully vested. After giving effect to the XpresTest RSA Repurchases, no XpresTest RSAs remain outstanding, and XWELL now owns all of the issued and outstanding shares of capital stock of XpresTest.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announced, on July 6, 2026, XWELL entered into a Securities Purchase Agreement (the “</w:t>
      </w:r>
      <w:r>
        <w:rPr>
          <w:rFonts w:ascii="Times New Roman;Times;Serif" w:hAnsi="Times New Roman;Times;Serif"/>
          <w:b/>
          <w:i/>
          <w:caps w:val="false"/>
          <w:smallCaps w:val="false"/>
          <w:sz w:val="20"/>
        </w:rPr>
        <w:t>Purchase Agreement</w:t>
      </w:r>
      <w:r>
        <w:rPr>
          <w:rFonts w:ascii="Times New Roman;Times;Serif" w:hAnsi="Times New Roman;Times;Serif"/>
          <w:b w:val="false"/>
          <w:i w:val="false"/>
          <w:caps w:val="false"/>
          <w:smallCaps w:val="false"/>
          <w:sz w:val="20"/>
        </w:rPr>
        <w:t>”), by and among XWELL, XpresSpa Holdings, LLC, a Delaware limited liability company (“</w:t>
      </w:r>
      <w:r>
        <w:rPr>
          <w:rFonts w:ascii="Times New Roman;Times;Serif" w:hAnsi="Times New Roman;Times;Serif"/>
          <w:b/>
          <w:i/>
          <w:caps w:val="false"/>
          <w:smallCaps w:val="false"/>
          <w:sz w:val="20"/>
        </w:rPr>
        <w:t>XpresSpa</w:t>
      </w:r>
      <w:r>
        <w:rPr>
          <w:rFonts w:ascii="Times New Roman;Times;Serif" w:hAnsi="Times New Roman;Times;Serif"/>
          <w:b w:val="false"/>
          <w:i w:val="false"/>
          <w:caps w:val="false"/>
          <w:smallCaps w:val="false"/>
          <w:sz w:val="20"/>
        </w:rPr>
        <w:t>”), XpresTest, and Express Wellness Group, LLC, a Delaware limited liability company (the “</w:t>
      </w:r>
      <w:r>
        <w:rPr>
          <w:rFonts w:ascii="Times New Roman;Times;Serif" w:hAnsi="Times New Roman;Times;Serif"/>
          <w:b/>
          <w:i/>
          <w:caps w:val="false"/>
          <w:smallCaps w:val="false"/>
          <w:sz w:val="20"/>
        </w:rPr>
        <w:t>Buyer</w:t>
      </w:r>
      <w:r>
        <w:rPr>
          <w:rFonts w:ascii="Times New Roman;Times;Serif" w:hAnsi="Times New Roman;Times;Serif"/>
          <w:b w:val="false"/>
          <w:i w:val="false"/>
          <w:caps w:val="false"/>
          <w:smallCaps w:val="false"/>
          <w:sz w:val="20"/>
        </w:rPr>
        <w:t>”), in accordance with the terms and subject to the conditions of which, among other things, XWELL will sell, assign, transfer and convey to the Buyer all of XWELL’s equity interests in XpresSpa and XpresTest (the “</w:t>
      </w:r>
      <w:r>
        <w:rPr>
          <w:rFonts w:ascii="Times New Roman;Times;Serif" w:hAnsi="Times New Roman;Times;Serif"/>
          <w:b/>
          <w:i/>
          <w:caps w:val="false"/>
          <w:smallCaps w:val="false"/>
          <w:sz w:val="20"/>
        </w:rPr>
        <w:t>Sale</w:t>
      </w:r>
      <w:r>
        <w:rPr>
          <w:rFonts w:ascii="Times New Roman;Times;Serif" w:hAnsi="Times New Roman;Times;Serif"/>
          <w:b w:val="false"/>
          <w:i w:val="false"/>
          <w:caps w:val="false"/>
          <w:smallCaps w:val="false"/>
          <w:sz w:val="20"/>
        </w:rPr>
        <w:t>”). Under the terms of the Purchase Agreement, at the closing of the Sale, each outstanding XpresTest RSA would have become fully vested and would have been repurchased by XpresTest for an amount in cash equal to (i) the number of shares of XpresTest common stock underlying such XpresTest RSA multiplied by (ii) a per-share price to be mutually agreed by the Buyer and XWELL based on a valuation of XpresTest.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$9,634.09 per share price paid in the XpresTest RSA Repurchases is the same per-share price the Buyer and XWELL had agreed would apply to the XpresTest RSAs under the Purchase Agreement. The XpresTest RSA Repurchases, which would have otherwise occurred at the closing of the Sale, were completed early with the consent of the Buyer and have the effect of simplifying XpresTest’s capitalization in preparation for the Sale. Under the terms of the Purchase Agreement, all amounts payable in respect of the repurchased XpresTest RSAs would have constituted XWELL sale expenses, which would have reduced dollar-for-dollar the purchase price payable by the Buyer to XWELL. Because these amounts have now already been paid in full, they will not be included in the calculation of XWELL’s unpaid sale expenses under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agreements pursuant to which the XpresTest RSA Repurchases were effectuated does not purport to be complete and is qualified in its entirety by reference to the full text of the form of Stock Repurchase Agreement and associated form of Side Letter, filed as Exhibits 10.1 and 10.2, respectively, to this Current Report on Form 8-K. The foregoing description of the Purchase Agreement does not purport to be complete and is qualified in its entirety by reference to the Purchase Agreement, filed as Exhibit 2.1 to XWELL’s Current Report on Form 8-K dated July 7, 2026, and which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and any exhibits filed or furnished herewith contain forward-looking statements (including within the meaning of Section 21E of the Securities Exchange Act of 1934, as amended (the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and Section 27A of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concerning XWELL, the Buyer, the proposed Sale and other matters. All statements other than statements of historical fact contained in this Current Report on Form 8-K are “forward-looking statements” for purposes of this Current Report on Form 8-K. Where, in any forward-looking statement, we express an expectation or belief as to future results or events, such expectation or belief is expressed in good faith and believed to have a reasonable basis, but there can be no assurance that the expectation or belief will result or be accomplished. These statements involve known and unknown risks, uncertainties, assumptions, and other important factors that may cause our actual results, performance, or achievements to be materially different from any future results, performance, or achievements expressed or implied by the forward-looking statements. In some cases, you can identify forward-looking statements by terminology such as anticipate, believe, could, estimate, expect, intend, may, plan, potential, target, predict, project, contemplate, should, will, would, continue, assume, forecast, future, strategy, might, or the negative or plural of those terms or other similar expressions.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subject to risks and uncertainties, as described more particularly in the preliminary proxy statement that XWELL has filed with the Securities and Exchange Commission (the “</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in connection with the proposed Sale. Any forward-looking statement in this Current Report on Form 8-K reflects our current view with respect to future events, speaks only as of the date of this Current Report on Form 8-K, and is subject to these and other risks, uncertainties, and assumptions. Given these uncertainties, you should not rely on these forward-looking statements as predictions of future events. Although we believe that the expectations reflected in the forward-looking statements are reasonable, our information may be incomplete or limited, and we cannot guarantee future results. Moreover, we operate in an evolving environment. New risk factors and uncertainties may emerge from time to time, and it is not possible for management to predict all risk factors and uncertainties. Except as required by applicable law, we do not plan, and assume no obligation, to update or revise these forward-looking statements for any reason, even if new information becomes available in the future. We qualify all of our forward-looking statements by these cautionary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and any exhibits filed or furnished herewith are not intended to and do not constitute (i) a solicitation of a proxy, consent or approval with respect to any securities or in respect of the proposed transactions or (ii) an offer to sell or the solicitation of an offer to subscribe for or buy or an invitation to purchase or subscribe for any securities pursuant to the proposed transactions or otherwise, nor shall there be any sale, issuance or transfer of securities in any jurisdiction in contravention of applicable law. No offer of securities shall be made except by means of a prospectus meeting the requirements of the Securities Act or an exemption therefrom.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You Can Find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has filed a preliminary proxy statement with the SEC in connection with a special meeting of XWELL’s stockholders (the “</w:t>
      </w:r>
      <w:r>
        <w:rPr>
          <w:rFonts w:ascii="Times New Roman;Times;Serif" w:hAnsi="Times New Roman;Times;Serif"/>
          <w:b/>
          <w:i/>
          <w:caps w:val="false"/>
          <w:smallCaps w:val="false"/>
          <w:sz w:val="20"/>
        </w:rPr>
        <w:t>Special Meeting</w:t>
      </w:r>
      <w:r>
        <w:rPr>
          <w:rFonts w:ascii="Times New Roman;Times;Serif" w:hAnsi="Times New Roman;Times;Serif"/>
          <w:b w:val="false"/>
          <w:i w:val="false"/>
          <w:caps w:val="false"/>
          <w:smallCaps w:val="false"/>
          <w:sz w:val="20"/>
        </w:rPr>
        <w:t xml:space="preserve">”), at which XWELL intends to ask its stockholders to vote on, among other things, a proposal to approve and adopt the Purchase Agreement. XWELL also intends to file a definitive proxy statement with the SEC in connection with the Special Meeting.  Promptly after filing the definitive proxy statement, XWELL will mail the definitive proxy statement and a proxy card to each stockholder entitled to vote at the Special Meeting. XWELL’s stockholders are urged to read these documents, including the definitive proxy statement (and any amendments or supplements thereto), when they become available because they contain important information. XWELL’s SEC filings made electronically through the SEC’s EDGAR system are available to the public at the SEC’s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xml:space="preserve">. You may also find our SEC filings in the “SEC Filings” section of the “Investors” section of our website at </w:t>
      </w:r>
      <w:r>
        <w:rPr>
          <w:rFonts w:ascii="Times New Roman;Times;Serif" w:hAnsi="Times New Roman;Times;Serif"/>
          <w:b w:val="false"/>
          <w:i/>
          <w:caps w:val="false"/>
          <w:smallCaps w:val="false"/>
          <w:sz w:val="20"/>
        </w:rPr>
        <w:t>www.xwell.com</w:t>
      </w:r>
      <w:r>
        <w:rPr>
          <w:rFonts w:ascii="Times New Roman;Times;Serif" w:hAnsi="Times New Roman;Times;Serif"/>
          <w:b w:val="false"/>
          <w:i w:val="false"/>
          <w:caps w:val="false"/>
          <w:smallCaps w:val="false"/>
          <w:sz w:val="20"/>
        </w:rPr>
        <w:t>. No proxy cards are being furnished by this communication. Stockholders may vote their shares only by following the voting instructions set forth in the definitive proxy statement when it becomes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and its directors and executive officers may be deemed to be participants in the solicitation of proxies from stockholders in connection with the proposed Sale. Information about XWELL’s directors and executive officers, including a description of their interests in XWELL, is included in XWELL’s most recent Annual Report on Form 10-K for the year ended December 31, 2025 (as amended by the Annual Report on Form 10-K/A), as filed with the SEC, subsequent Quarterly Reports on Form 10-Q filed with the SEC, and other documents that may be filed from time to time with the SEC. Additional information regarding these persons and their interests in the proposed Sale are included in the preliminary proxy statement relating to the proposed Sale filed with the SEC on July 27, 2026, as amended, and will be included in the definitive proxy statement when it becomes available. These documents can be obtained free of charge from the sources indicated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38"/>
        <w:gridCol w:w="96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both"/>
              <w:rPr>
                <w:b/>
              </w:rPr>
            </w:pPr>
            <w:r>
              <w:rPr>
                <w:b/>
              </w:rPr>
              <w:t>Financial Statements and Exhibits.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030" w:type="dxa"/>
        <w:jc w:val="left"/>
        <w:tblInd w:w="0" w:type="dxa"/>
        <w:tblLayout w:type="fixed"/>
        <w:tblCellMar>
          <w:top w:w="0" w:type="dxa"/>
          <w:left w:w="0" w:type="dxa"/>
          <w:bottom w:w="28" w:type="dxa"/>
          <w:right w:w="0" w:type="dxa"/>
        </w:tblCellMar>
      </w:tblPr>
      <w:tblGrid>
        <w:gridCol w:w="1400"/>
        <w:gridCol w:w="60"/>
        <w:gridCol w:w="8570"/>
      </w:tblGrid>
      <w:tr>
        <w:trPr/>
        <w:tc>
          <w:tcPr>
            <w:tcW w:w="1400" w:type="dxa"/>
            <w:tcBorders>
              <w:bottom w:val="single" w:sz="8" w:space="0" w:color="000000"/>
            </w:tcBorders>
            <w:vAlign w:val="center"/>
          </w:tcPr>
          <w:p>
            <w:pPr>
              <w:pStyle w:val="TableContents"/>
              <w:bidi w:val="0"/>
              <w:spacing w:before="0" w:after="283"/>
              <w:jc w:val="left"/>
              <w:rPr>
                <w:b/>
                <w:sz w:val="20"/>
              </w:rPr>
            </w:pPr>
            <w:r>
              <w:rPr>
                <w:b/>
                <w:sz w:val="20"/>
              </w:rPr>
              <w:t>Exhibit Number</w:t>
            </w:r>
          </w:p>
        </w:tc>
        <w:tc>
          <w:tcPr>
            <w:tcW w:w="60" w:type="dxa"/>
            <w:tcBorders/>
            <w:tcMar>
              <w:bottom w:w="0" w:type="dxa"/>
            </w:tcMar>
            <w:vAlign w:val="center"/>
          </w:tcPr>
          <w:p>
            <w:pPr>
              <w:pStyle w:val="TableContents"/>
              <w:bidi w:val="0"/>
              <w:spacing w:before="0" w:after="283"/>
              <w:jc w:val="left"/>
              <w:rPr/>
            </w:pPr>
            <w:r>
              <w:rPr/>
              <w:t> </w:t>
            </w:r>
          </w:p>
        </w:tc>
        <w:tc>
          <w:tcPr>
            <w:tcW w:w="8570" w:type="dxa"/>
            <w:tcBorders>
              <w:bottom w:val="single" w:sz="8" w:space="0" w:color="000000"/>
            </w:tcBorders>
            <w:vAlign w:val="center"/>
          </w:tcPr>
          <w:p>
            <w:pPr>
              <w:pStyle w:val="TableContents"/>
              <w:bidi w:val="0"/>
              <w:spacing w:before="0" w:after="283"/>
              <w:jc w:val="center"/>
              <w:rPr>
                <w:b/>
                <w:sz w:val="20"/>
              </w:rPr>
            </w:pPr>
            <w:r>
              <w:rPr>
                <w:b/>
                <w:sz w:val="20"/>
              </w:rPr>
              <w:t>Description</w:t>
            </w:r>
          </w:p>
        </w:tc>
      </w:tr>
      <w:tr>
        <w:trPr/>
        <w:tc>
          <w:tcPr>
            <w:tcW w:w="1400" w:type="dxa"/>
            <w:tcBorders/>
            <w:tcMar>
              <w:bottom w:w="0" w:type="dxa"/>
            </w:tcMar>
            <w:vAlign w:val="center"/>
          </w:tcPr>
          <w:p>
            <w:pPr>
              <w:pStyle w:val="TableContents"/>
              <w:bidi w:val="0"/>
              <w:spacing w:before="0" w:after="283"/>
              <w:jc w:val="left"/>
              <w:rPr/>
            </w:pPr>
            <w:hyperlink w:anchor="tm2621012d3_ex10-1.htm">
              <w:r>
                <w:rPr>
                  <w:rStyle w:val="InternetLink"/>
                  <w:sz w:val="20"/>
                </w:rPr>
                <w:t>10.1</w:t>
              </w:r>
            </w:hyperlink>
          </w:p>
        </w:tc>
        <w:tc>
          <w:tcPr>
            <w:tcW w:w="60" w:type="dxa"/>
            <w:tcBorders/>
            <w:tcMar>
              <w:bottom w:w="0" w:type="dxa"/>
            </w:tcMar>
            <w:vAlign w:val="center"/>
          </w:tcPr>
          <w:p>
            <w:pPr>
              <w:pStyle w:val="TableContents"/>
              <w:bidi w:val="0"/>
              <w:spacing w:before="0" w:after="283"/>
              <w:jc w:val="left"/>
              <w:rPr/>
            </w:pPr>
            <w:r>
              <w:rPr/>
              <w:t> </w:t>
            </w:r>
          </w:p>
        </w:tc>
        <w:tc>
          <w:tcPr>
            <w:tcW w:w="8570" w:type="dxa"/>
            <w:tcBorders/>
            <w:tcMar>
              <w:bottom w:w="0" w:type="dxa"/>
            </w:tcMar>
            <w:vAlign w:val="center"/>
          </w:tcPr>
          <w:p>
            <w:pPr>
              <w:pStyle w:val="TableContents"/>
              <w:bidi w:val="0"/>
              <w:spacing w:before="0" w:after="283"/>
              <w:jc w:val="both"/>
              <w:rPr/>
            </w:pPr>
            <w:hyperlink w:anchor="tm2621012d3_ex10-1.htm">
              <w:r>
                <w:rPr>
                  <w:rStyle w:val="InternetLink"/>
                  <w:sz w:val="20"/>
                </w:rPr>
                <w:t>Form of Stock Repurchase Agreement, by and among XpresTest, Inc. and the undersigned parties thereto. </w:t>
              </w:r>
            </w:hyperlink>
          </w:p>
        </w:tc>
      </w:tr>
      <w:tr>
        <w:trPr/>
        <w:tc>
          <w:tcPr>
            <w:tcW w:w="1400" w:type="dxa"/>
            <w:tcBorders/>
            <w:tcMar>
              <w:bottom w:w="0" w:type="dxa"/>
            </w:tcMar>
            <w:vAlign w:val="center"/>
          </w:tcPr>
          <w:p>
            <w:pPr>
              <w:pStyle w:val="TableContents"/>
              <w:bidi w:val="0"/>
              <w:spacing w:before="0" w:after="283"/>
              <w:jc w:val="left"/>
              <w:rPr/>
            </w:pPr>
            <w:hyperlink w:anchor="tm2621012d3_ex10-2.htm">
              <w:r>
                <w:rPr>
                  <w:rStyle w:val="InternetLink"/>
                  <w:sz w:val="20"/>
                </w:rPr>
                <w:t>10.2</w:t>
              </w:r>
            </w:hyperlink>
          </w:p>
        </w:tc>
        <w:tc>
          <w:tcPr>
            <w:tcW w:w="60" w:type="dxa"/>
            <w:tcBorders/>
            <w:tcMar>
              <w:bottom w:w="0" w:type="dxa"/>
            </w:tcMar>
            <w:vAlign w:val="center"/>
          </w:tcPr>
          <w:p>
            <w:pPr>
              <w:pStyle w:val="TableContents"/>
              <w:bidi w:val="0"/>
              <w:spacing w:before="0" w:after="283"/>
              <w:jc w:val="left"/>
              <w:rPr/>
            </w:pPr>
            <w:r>
              <w:rPr/>
              <w:t> </w:t>
            </w:r>
          </w:p>
        </w:tc>
        <w:tc>
          <w:tcPr>
            <w:tcW w:w="8570" w:type="dxa"/>
            <w:tcBorders/>
            <w:tcMar>
              <w:bottom w:w="0" w:type="dxa"/>
            </w:tcMar>
            <w:vAlign w:val="center"/>
          </w:tcPr>
          <w:p>
            <w:pPr>
              <w:pStyle w:val="TableContents"/>
              <w:bidi w:val="0"/>
              <w:spacing w:before="0" w:after="283"/>
              <w:jc w:val="both"/>
              <w:rPr/>
            </w:pPr>
            <w:hyperlink w:anchor="tm2621012d3_ex10-2.htm">
              <w:r>
                <w:rPr>
                  <w:rStyle w:val="InternetLink"/>
                  <w:sz w:val="20"/>
                </w:rPr>
                <w:t>Form of Side Letter, by and among XpresTest, Inc. and the undersigned parties thereto.</w:t>
              </w:r>
            </w:hyperlink>
          </w:p>
        </w:tc>
      </w:tr>
      <w:tr>
        <w:trPr/>
        <w:tc>
          <w:tcPr>
            <w:tcW w:w="1400" w:type="dxa"/>
            <w:tcBorders/>
            <w:tcMar>
              <w:bottom w:w="0" w:type="dxa"/>
            </w:tcMar>
            <w:vAlign w:val="center"/>
          </w:tcPr>
          <w:p>
            <w:pPr>
              <w:pStyle w:val="TableContents"/>
              <w:bidi w:val="0"/>
              <w:spacing w:before="0" w:after="283"/>
              <w:jc w:val="left"/>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8570" w:type="dxa"/>
            <w:tcBorders/>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8, 2026</w:t>
      </w:r>
    </w:p>
    <w:p>
      <w:pPr>
        <w:pStyle w:val="TextBody"/>
        <w:bidi w:val="0"/>
        <w:spacing w:before="0" w:after="0"/>
        <w:ind w:left="0" w:right="0" w:hanging="0"/>
        <w:jc w:val="left"/>
        <w:rPr>
          <w:caps w:val="false"/>
          <w:smallCaps w:val="false"/>
        </w:rPr>
      </w:pPr>
      <w:r>
        <w:rPr>
          <w:caps w:val="false"/>
          <w:smallCaps w:val="false"/>
        </w:rPr>
        <w:t> </w:t>
      </w:r>
    </w:p>
    <w:tbl>
      <w:tblPr>
        <w:tblW w:w="4035" w:type="dxa"/>
        <w:jc w:val="left"/>
        <w:tblInd w:w="0" w:type="dxa"/>
        <w:tblLayout w:type="fixed"/>
        <w:tblCellMar>
          <w:top w:w="0" w:type="dxa"/>
          <w:left w:w="0" w:type="dxa"/>
          <w:bottom w:w="0" w:type="dxa"/>
          <w:right w:w="0" w:type="dxa"/>
        </w:tblCellMar>
      </w:tblPr>
      <w:tblGrid>
        <w:gridCol w:w="335"/>
        <w:gridCol w:w="545"/>
        <w:gridCol w:w="3080"/>
        <w:gridCol w:w="75"/>
      </w:tblGrid>
      <w:tr>
        <w:trPr/>
        <w:tc>
          <w:tcPr>
            <w:tcW w:w="3960" w:type="dxa"/>
            <w:gridSpan w:val="3"/>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XWELL, Inc.</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362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62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Ezra T. Ernst</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Ezra T. Ernst</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and 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23" w:name="tm2621012d3_ex10-1.htm"/>
      <w:bookmarkStart w:id="24" w:name="kstm2621012d3_ex101"/>
      <w:bookmarkEnd w:id="23"/>
      <w:bookmarkEnd w:id="24"/>
      <w:r>
        <w:rPr/>
        <w:t> </w:t>
      </w:r>
      <w:r>
        <w:br w:type="page"/>
      </w:r>
    </w:p>
    <w:p>
      <w:pPr>
        <w:pStyle w:val="TextBody"/>
        <w:bidi w:val="0"/>
        <w:jc w:val="right"/>
        <w:rPr>
          <w:b/>
        </w:rPr>
      </w:pPr>
      <w:r>
        <w:rPr>
          <w:b/>
        </w:rPr>
        <w:t>Exhibit 10.1</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REPURCHASE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STOCK REPURCHASE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made and entered into as of __________________, 2026, by and between __________________ (“</w:t>
      </w:r>
      <w:r>
        <w:rPr>
          <w:rFonts w:ascii="Times New Roman;Times;Serif" w:hAnsi="Times New Roman;Times;Serif"/>
          <w:b w:val="false"/>
          <w:i w:val="false"/>
          <w:caps w:val="false"/>
          <w:smallCaps w:val="false"/>
          <w:sz w:val="20"/>
          <w:u w:val="single"/>
        </w:rPr>
        <w:t>Seller</w:t>
      </w:r>
      <w:r>
        <w:rPr>
          <w:rFonts w:ascii="Times New Roman;Times;Serif" w:hAnsi="Times New Roman;Times;Serif"/>
          <w:b w:val="false"/>
          <w:i w:val="false"/>
          <w:caps w:val="false"/>
          <w:smallCaps w:val="false"/>
          <w:sz w:val="20"/>
        </w:rPr>
        <w:t>”) and XpresTest,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Seller acquired __________________ shares of Common Stock in the Company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Awarded Shares</w:t>
      </w:r>
      <w:r>
        <w:rPr>
          <w:rFonts w:ascii="Times New Roman;Times;Serif" w:hAnsi="Times New Roman;Times;Serif"/>
          <w:b w:val="false"/>
          <w:i w:val="false"/>
          <w:caps w:val="false"/>
          <w:smallCaps w:val="false"/>
          <w:sz w:val="20"/>
        </w:rPr>
        <w:t>”) pursuant to that certain Notice of Restricted Stock Award and Restricted Stock Award Agreement, dated as of __________________ (the “</w:t>
      </w:r>
      <w:r>
        <w:rPr>
          <w:rFonts w:ascii="Times New Roman;Times;Serif" w:hAnsi="Times New Roman;Times;Serif"/>
          <w:b w:val="false"/>
          <w:i w:val="false"/>
          <w:caps w:val="false"/>
          <w:smallCaps w:val="false"/>
          <w:sz w:val="20"/>
          <w:u w:val="single"/>
        </w:rPr>
        <w:t>Restricted Stock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Awarded Shares held by Seller, if not previously vested, shall become fully vested pursuant to Section 2.4 of that certain Securities Purchase Agreement, dated July 6, 2026, by and among XWELL, Inc., a Delaware corporation, XpresSpa Holdings, LLC, a Delaware limited liability company, the Company, and Express Wellness Group, LLC, a Delaware limited liability company (the “</w:t>
      </w:r>
      <w:r>
        <w:rPr>
          <w:rFonts w:ascii="Times New Roman;Times;Serif" w:hAnsi="Times New Roman;Times;Serif"/>
          <w:b w:val="false"/>
          <w:i w:val="false"/>
          <w:caps w:val="false"/>
          <w:smallCaps w:val="false"/>
          <w:sz w:val="20"/>
          <w:u w:val="single"/>
        </w:rPr>
        <w:t>Securities Purchase Agreement</w:t>
      </w:r>
      <w:r>
        <w:rPr>
          <w:rFonts w:ascii="Times New Roman;Times;Serif" w:hAnsi="Times New Roman;Times;Serif"/>
          <w:b w:val="false"/>
          <w:i w:val="false"/>
          <w:caps w:val="false"/>
          <w:smallCaps w:val="false"/>
          <w:sz w:val="20"/>
        </w:rPr>
        <w:t>”) at the Closing (as defined in the 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Seller desires to sell to Purchaser, and Purchaser desires to buy from Seller, all of the Awarded Shares in accordance with the terms and subject to the conditions set forth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consummation of the transactions contemplated by this Agreement is expressly contingent on the concurrent consummation of the transactions contemplated by the Securities Purchase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Purchaser’s Board of Directors has previously approved the form of this Agreement and any related transactions that may be required in connection with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agreements set forth below, and for other good and valuable consideration, the receipt and sufficiency of which are hereby acknowledged, the parties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AGREEMENT</w:t>
      </w:r>
    </w:p>
    <w:p>
      <w:pPr>
        <w:pStyle w:val="TextBody"/>
        <w:bidi w:val="0"/>
        <w:spacing w:before="0" w:after="0"/>
        <w:ind w:left="0" w:right="0" w:hanging="0"/>
        <w:jc w:val="left"/>
        <w:rPr>
          <w:caps w:val="false"/>
          <w:smallCaps w:val="false"/>
        </w:rPr>
      </w:pPr>
      <w:r>
        <w:rPr>
          <w:caps w:val="false"/>
          <w:smallCaps w:val="false"/>
        </w:rPr>
        <w:t> </w:t>
      </w:r>
    </w:p>
    <w:tbl>
      <w:tblPr>
        <w:tblW w:w="5373" w:type="dxa"/>
        <w:jc w:val="left"/>
        <w:tblInd w:w="0" w:type="dxa"/>
        <w:tblLayout w:type="fixed"/>
        <w:tblCellMar>
          <w:top w:w="0" w:type="dxa"/>
          <w:left w:w="0" w:type="dxa"/>
          <w:bottom w:w="0" w:type="dxa"/>
          <w:right w:w="0" w:type="dxa"/>
        </w:tblCellMar>
      </w:tblPr>
      <w:tblGrid>
        <w:gridCol w:w="38"/>
        <w:gridCol w:w="200"/>
        <w:gridCol w:w="513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5135" w:type="dxa"/>
            <w:tcBorders/>
            <w:vAlign w:val="center"/>
          </w:tcPr>
          <w:p>
            <w:pPr>
              <w:pStyle w:val="TableContents"/>
              <w:bidi w:val="0"/>
              <w:spacing w:before="0" w:after="283"/>
              <w:jc w:val="left"/>
              <w:rPr/>
            </w:pPr>
            <w:r>
              <w:rPr>
                <w:u w:val="single"/>
              </w:rPr>
              <w:t>Sale and Purchase of Common Stock; Purchase Price</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of this Agreement, immediately prior to (but conditioned upon the subsequent consummation of) the Closing, Seller shall sell, assign, transfer, convey and deliver to Purchaser, and Purchaser shall purchase, acquire and accept from Seller, all of the Awarded Shares, free and clear of all Liens (as defined below). In consideration for the sale, assignment, transfer, conveyance and delivery of the Awarded Shares, Purchaser shall pay Seller an aggregate price of $__________________, net of any applicable income and employment taxes that the Company is required to withhold therefrom under applicable law (the “</w:t>
      </w:r>
      <w:r>
        <w:rPr>
          <w:rFonts w:ascii="Times New Roman;Times;Serif" w:hAnsi="Times New Roman;Times;Serif"/>
          <w:b w:val="false"/>
          <w:i w:val="false"/>
          <w:caps w:val="false"/>
          <w:smallCaps w:val="false"/>
          <w:sz w:val="20"/>
          <w:u w:val="single"/>
        </w:rPr>
        <w:t>Purchase Price</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183" w:type="dxa"/>
        <w:jc w:val="left"/>
        <w:tblInd w:w="0" w:type="dxa"/>
        <w:tblLayout w:type="fixed"/>
        <w:tblCellMar>
          <w:top w:w="0" w:type="dxa"/>
          <w:left w:w="0" w:type="dxa"/>
          <w:bottom w:w="0" w:type="dxa"/>
          <w:right w:w="0" w:type="dxa"/>
        </w:tblCellMar>
      </w:tblPr>
      <w:tblGrid>
        <w:gridCol w:w="38"/>
        <w:gridCol w:w="170"/>
        <w:gridCol w:w="29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2.</w:t>
            </w:r>
          </w:p>
        </w:tc>
        <w:tc>
          <w:tcPr>
            <w:tcW w:w="2975" w:type="dxa"/>
            <w:tcBorders/>
            <w:vAlign w:val="center"/>
          </w:tcPr>
          <w:p>
            <w:pPr>
              <w:pStyle w:val="TableContents"/>
              <w:bidi w:val="0"/>
              <w:spacing w:before="0" w:after="283"/>
              <w:jc w:val="both"/>
              <w:rPr/>
            </w:pPr>
            <w:r>
              <w:rPr>
                <w:u w:val="single"/>
              </w:rPr>
              <w:t>Closing; Additional Deliveries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consummation of the purchase and sale of the Awarded Shares shall take place immediately prior to (but conditioned upon the subsequent consummation of) the Closing (the “</w:t>
      </w:r>
      <w:r>
        <w:rPr>
          <w:rFonts w:ascii="Times New Roman;Times;Serif" w:hAnsi="Times New Roman;Times;Serif"/>
          <w:b w:val="false"/>
          <w:i w:val="false"/>
          <w:caps w:val="false"/>
          <w:smallCaps w:val="false"/>
          <w:sz w:val="20"/>
          <w:u w:val="single"/>
        </w:rPr>
        <w:t>Repurchase Time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At the Repurchase Time, Seller shall deliver to the Company a stock assignment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Stock Assignment</w:t>
      </w:r>
      <w:r>
        <w:rPr>
          <w:rFonts w:ascii="Times New Roman;Times;Serif" w:hAnsi="Times New Roman;Times;Serif"/>
          <w:b w:val="false"/>
          <w:i w:val="false"/>
          <w:caps w:val="false"/>
          <w:smallCaps w:val="false"/>
          <w:sz w:val="20"/>
        </w:rPr>
        <w:t>”). Without limiting the foregoing, the parties acknowledge that, concurrently herewith, Seller has delivered to the Company a duly executed Stock Assignment, which the Company shall hold in escrow pending (and subject to) the Repurchase Time. At the Repurchase Time, the Company is expressly authorized to add the Closing Date (as defined in the Securities Purchase Agreement) to the Stock Assignment and to release Seller’s signature thereon from escrow.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Purchase Price will be paid in immediately available funds via check or wire transfer to the address or account specified by Seller within five (5) business days following the Closing, provided Purchaser has received all deliverables set forth in Section 2(b).</w:t>
      </w:r>
    </w:p>
    <w:p>
      <w:pPr>
        <w:pStyle w:val="TextBody"/>
        <w:bidi w:val="0"/>
        <w:spacing w:before="0" w:after="0"/>
        <w:ind w:left="0" w:right="0" w:hanging="0"/>
        <w:jc w:val="left"/>
        <w:rPr>
          <w:caps w:val="false"/>
          <w:smallCaps w:val="false"/>
        </w:rPr>
      </w:pPr>
      <w:r>
        <w:rPr>
          <w:caps w:val="false"/>
          <w:smallCaps w:val="false"/>
        </w:rPr>
        <w:t> </w:t>
      </w:r>
    </w:p>
    <w:tbl>
      <w:tblPr>
        <w:tblW w:w="4173" w:type="dxa"/>
        <w:jc w:val="left"/>
        <w:tblInd w:w="0" w:type="dxa"/>
        <w:tblLayout w:type="fixed"/>
        <w:tblCellMar>
          <w:top w:w="0" w:type="dxa"/>
          <w:left w:w="0" w:type="dxa"/>
          <w:bottom w:w="0" w:type="dxa"/>
          <w:right w:w="0" w:type="dxa"/>
        </w:tblCellMar>
      </w:tblPr>
      <w:tblGrid>
        <w:gridCol w:w="38"/>
        <w:gridCol w:w="200"/>
        <w:gridCol w:w="393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3.</w:t>
            </w:r>
          </w:p>
        </w:tc>
        <w:tc>
          <w:tcPr>
            <w:tcW w:w="3935" w:type="dxa"/>
            <w:tcBorders/>
            <w:vAlign w:val="center"/>
          </w:tcPr>
          <w:p>
            <w:pPr>
              <w:pStyle w:val="TableContents"/>
              <w:bidi w:val="0"/>
              <w:spacing w:before="0" w:after="283"/>
              <w:jc w:val="both"/>
              <w:rPr/>
            </w:pPr>
            <w:r>
              <w:rPr>
                <w:u w:val="single"/>
              </w:rPr>
              <w:t>Representations and Warranties of Seller</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material inducement to Purchaser to enter into this Agreement, Seller hereby makes the following representations and warranties to Purchaser, each of which is true and correct on the date hereof and as of the Repurchase Time and which shall survive the Repurchase Time and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Seller has the power, authority and capacity to execute and deliver this Agreement, to perform its obligations hereunder, and to consummate the transaction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execution and delivery of this Agreement by Seller and the consummation by Seller of the transaction contemplated hereby (i) do not require the consent, approval, authorization, order, registration or qualification of, or filing with, any governmental authority or court, or body or arbitrator having jurisdiction over Seller; and (ii) do not and will not constitute or result in a breach, violation or default under any contract covenant or instrument under which Seller is now obligated.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Seller is the sole record and beneficial owner of the Awarded Shares, free and clear of any mortgages, judgments, claims, liens, security interests, pledges, escrows, charges, easements, options, debts, assessments, rights of first refusal, imperfection of title, tenancy, legal or equitable right of another person or other encumbrances of any kind or character whatsoever (“</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and the Awarded Shares are not subject to any restrictions on transfer or other provisions under any agreements of any type whatsoever. Seller does not own any equity securities of the Company (or any securities convertible into, exchangeable for or carrying the right to acquire equity securities of the Company) other than the Awarded Shares. Seller has valid and marketable title to the Awarded Shares and, upon the consummation of the transactions contemplated by this Agreement, Purchaser will have valid and marketable title to such Awarded Shares free and clear of all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After the Closing, Seller shall have no remaining claim to ownership or the right to any ownership in Purchaser now or in the future, or any other claim of any kind against Purchaser, or any owner, director, officer, shareholder, employee or agent of Purchaser relating or arising out of Seller’s ownership of the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Seller acknowledges and agrees that none of Purchaser, Express Wellness Group, LLC, any affiliate of the foregoing, or any of their respective representatives has made any representations or warranties to Seller in connection with this Agreement or the transactions contemplated hereby, and Seller is not relying on any such representations or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Release of Claims</w:t>
      </w:r>
      <w:r>
        <w:rPr>
          <w:rFonts w:ascii="Times New Roman;Times;Serif" w:hAnsi="Times New Roman;Times;Serif"/>
          <w:b w:val="false"/>
          <w:i w:val="false"/>
          <w:caps w:val="false"/>
          <w:smallCaps w:val="false"/>
          <w:sz w:val="20"/>
        </w:rPr>
        <w:t>. In consideration of the payments under this Agreement, the receipt and adequacy of which are acknowledged, Seller, on behalf of himself, his affiliates and each of his executors, legatees, administrators, representatives, agents, beneficiaries, successors and assigns, as applicable (each a “</w:t>
      </w:r>
      <w:r>
        <w:rPr>
          <w:rFonts w:ascii="Times New Roman;Times;Serif" w:hAnsi="Times New Roman;Times;Serif"/>
          <w:b w:val="false"/>
          <w:i w:val="false"/>
          <w:caps w:val="false"/>
          <w:smallCaps w:val="false"/>
          <w:sz w:val="20"/>
          <w:u w:val="single"/>
        </w:rPr>
        <w:t>Releasing Party</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Releasing Parties</w:t>
      </w:r>
      <w:r>
        <w:rPr>
          <w:rFonts w:ascii="Times New Roman;Times;Serif" w:hAnsi="Times New Roman;Times;Serif"/>
          <w:b w:val="false"/>
          <w:i w:val="false"/>
          <w:caps w:val="false"/>
          <w:smallCaps w:val="false"/>
          <w:sz w:val="20"/>
        </w:rPr>
        <w:t>”), hereby unconditionally, irrevocably and forever releases, waives and discharges the Company and each of its affiliates and each of their respective former or current officers, directors, employees, equity holders, general and limited partners, members, managers, shareholders, agents, representatives, successors and assigns, as applicable (each a “Released Party” and collectively, the “</w:t>
      </w:r>
      <w:r>
        <w:rPr>
          <w:rFonts w:ascii="Times New Roman;Times;Serif" w:hAnsi="Times New Roman;Times;Serif"/>
          <w:b w:val="false"/>
          <w:i w:val="false"/>
          <w:caps w:val="false"/>
          <w:smallCaps w:val="false"/>
          <w:sz w:val="20"/>
          <w:u w:val="single"/>
        </w:rPr>
        <w:t>Released Parties</w:t>
      </w:r>
      <w:r>
        <w:rPr>
          <w:rFonts w:ascii="Times New Roman;Times;Serif" w:hAnsi="Times New Roman;Times;Serif"/>
          <w:b w:val="false"/>
          <w:i w:val="false"/>
          <w:caps w:val="false"/>
          <w:smallCaps w:val="false"/>
          <w:sz w:val="20"/>
        </w:rPr>
        <w:t xml:space="preserve">”), of and from, and hereby unconditionally and irrevocably waives, any and all claims, demands, debts, losses, expenses, proceedings, contracts and covenants (whether express or implied), costs, interest, liabilities, suits, awards, judgments, executions, duties, dues, bonds, penalties, damages, actions and causes of action, obligations, accounts, and liabilities of any kind or character whatsoever, known or unknown, suspected or unsuspected, in contract, direct or indirect, at law or in equity that the Releasing Parties ever had, now has or ever may have or claim to have against any Released Party, arising out of or related to its acquisition or ownership of the Common Stock or its execution of the Restricted Stock Agreement and any exhibits thereto. In addition, each of the Releasing Parties hereby covenants and agrees not to, directly or indirectly, commence, institute, maintain, prosecute, or voluntarily aid any action, proceeding, claim, or cause of action in any court or before any governmental authority or arbitrator against any Released Party with respect to any matter released pursuant to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If any Releasing Party breaches this covenant not to sue, such Releasing Party shall indemnify and hold harmless the applicable Released Party from and against any and all losses, costs, and expenses (including reasonable attorneys’ fees) incurred in connection with such breach. [Following the purchase and sale of the Remaining Shares to Purchaser, Seller further acknowledges that the Remaining Shares shall continue to be deemed owned by Seller solely for purposes of the Antidilution Rights pursuant to that certain Notice of Restricted Stock Award and Restricted Stock Award Agreement, dated as of _______________, and that the transfer of the Remaining Shares pursuant to this Agreement shall not trigger such Antidilution Rights.]</w:t>
      </w:r>
    </w:p>
    <w:p>
      <w:pPr>
        <w:pStyle w:val="TextBody"/>
        <w:bidi w:val="0"/>
        <w:spacing w:before="0" w:after="0"/>
        <w:ind w:left="0" w:right="0" w:hanging="0"/>
        <w:jc w:val="left"/>
        <w:rPr>
          <w:caps w:val="false"/>
          <w:smallCaps w:val="false"/>
        </w:rPr>
      </w:pPr>
      <w:r>
        <w:rPr>
          <w:caps w:val="false"/>
          <w:smallCaps w:val="false"/>
        </w:rPr>
        <w:t> </w:t>
      </w:r>
    </w:p>
    <w:tbl>
      <w:tblPr>
        <w:tblW w:w="1683" w:type="dxa"/>
        <w:jc w:val="left"/>
        <w:tblInd w:w="0" w:type="dxa"/>
        <w:tblLayout w:type="fixed"/>
        <w:tblCellMar>
          <w:top w:w="0" w:type="dxa"/>
          <w:left w:w="0" w:type="dxa"/>
          <w:bottom w:w="0" w:type="dxa"/>
          <w:right w:w="0" w:type="dxa"/>
        </w:tblCellMar>
      </w:tblPr>
      <w:tblGrid>
        <w:gridCol w:w="38"/>
        <w:gridCol w:w="200"/>
        <w:gridCol w:w="14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5.</w:t>
            </w:r>
          </w:p>
        </w:tc>
        <w:tc>
          <w:tcPr>
            <w:tcW w:w="1445" w:type="dxa"/>
            <w:tcBorders/>
            <w:vAlign w:val="center"/>
          </w:tcPr>
          <w:p>
            <w:pPr>
              <w:pStyle w:val="TableContents"/>
              <w:bidi w:val="0"/>
              <w:spacing w:before="0" w:after="283"/>
              <w:jc w:val="both"/>
              <w:rPr/>
            </w:pPr>
            <w:r>
              <w:rPr>
                <w:u w:val="single"/>
              </w:rPr>
              <w:t>Miscellaneous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constitutes the entire agreement between the parties hereto with respect to the subject matter of this Agreement and supersedes any and all prior agreements related to the subject matter hereof. The respective agreements, representations, warranties and other statements of Purchaser and Seller, as set forth in this Agreement, shall remain in full force and effect, regardless of any investigation (or any statement as to the results thereof) made by or on behalf of Purchaser or Seller or any of their respective officers, directors or affiliates, and shall survive delivery of and payment for the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This Agreement may be amended only by written agreement among the parties hereto and Express Wellness Group, LLC (and Express Wellness Group, LLC is an express third-party beneficiary of this Agreement entitled to enforce its rights under this </w:t>
      </w:r>
      <w:r>
        <w:rPr>
          <w:rFonts w:ascii="Times New Roman;Times;Serif" w:hAnsi="Times New Roman;Times;Serif"/>
          <w:b w:val="false"/>
          <w:i w:val="false"/>
          <w:caps w:val="false"/>
          <w:smallCaps w:val="false"/>
          <w:sz w:val="20"/>
          <w:u w:val="single"/>
        </w:rPr>
        <w:t>Section 5(b)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party agrees to execute any additional documents and to take any further action as may be necessary or desirable in order to implement the transaction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This Agreement shall be governed by and construed under the laws of the State of Delaware (without giving effect to any conflict of law or other aspect of Delaware law that might result in the application of any law other than that of the State of Delaware). Each of the parties hereto hereby irrevocably and unconditionally (i) submits, for itself and its property, to the exclusive jurisdiction of the Court of Chancery of the State of Delaware (or, if the Court of Chancery lacks jurisdiction, any state or federal court sitting in the State of Delaware) in any action or proceeding arising out of or relating to this Agreement or the transactions contemplated hereby, (ii) agrees that all claims in respect of such action or proceeding shall be heard and determined in such courts, (iii) waives any objection it may now or hereafter have to the laying of venue of any such action or proceeding in such courts, and (iv) waives any claim that any such action or proceeding brought in such courts has been brought in an inconvenient forum. EACH PARTY HERETO HEREBY IRREVOCABLY AND UNCONDITIONALLY WAIVES, TO THE FULLEST EXTENT PERMITTED BY APPLICABLE LAW, ANY AND ALL RIGHTS TO A TRIAL BY JURY IN ANY ACTION OR PROCEEDING ARISING OUT OF OR RELATING TO THIS AGREEMENT OR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This Agreement may be executed in one or more counterparts, each of which constitutes an original and is admissible in evidence, and all of which constitute one and the same agreement. A signed copy of this Agreement delivered by facsimile, e-mail or other means of electronic transmission shall be deemed to have the same legal effect as delivery of an original signed copy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Notwithstanding anything to the contrary contained herein, in the event that the Securities Purchase Agreement is validly terminated prior to the Closing in accordance with its terms, this Agreement and the Stock Assignment shall automatically be deemed null and void and of no further force or effect, none of the parties hereto or thereto shall have any rights or obligations hereunder or thereunder, and the transactions contemplated hereby and thereby shall not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executed this Agreement as of the date first set forth above.</w:t>
      </w:r>
    </w:p>
    <w:p>
      <w:pPr>
        <w:pStyle w:val="TextBody"/>
        <w:bidi w:val="0"/>
        <w:spacing w:before="0" w:after="0"/>
        <w:ind w:left="0" w:right="0" w:hanging="0"/>
        <w:jc w:val="left"/>
        <w:rPr>
          <w:caps w:val="false"/>
          <w:smallCaps w:val="false"/>
        </w:rPr>
      </w:pPr>
      <w:r>
        <w:rPr>
          <w:caps w:val="false"/>
          <w:smallCaps w:val="false"/>
        </w:rPr>
        <w:t> </w:t>
      </w:r>
    </w:p>
    <w:tbl>
      <w:tblPr>
        <w:tblW w:w="1434" w:type="dxa"/>
        <w:jc w:val="left"/>
        <w:tblInd w:w="0" w:type="dxa"/>
        <w:tblLayout w:type="fixed"/>
        <w:tblCellMar>
          <w:top w:w="0" w:type="dxa"/>
          <w:left w:w="0" w:type="dxa"/>
          <w:bottom w:w="0" w:type="dxa"/>
          <w:right w:w="0" w:type="dxa"/>
        </w:tblCellMar>
      </w:tblPr>
      <w:tblGrid>
        <w:gridCol w:w="80"/>
        <w:gridCol w:w="523"/>
        <w:gridCol w:w="831"/>
      </w:tblGrid>
      <w:tr>
        <w:trPr/>
        <w:tc>
          <w:tcPr>
            <w:tcW w:w="80"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SELLER:</w:t>
            </w:r>
          </w:p>
        </w:tc>
      </w:tr>
      <w:tr>
        <w:trPr/>
        <w:tc>
          <w:tcPr>
            <w:tcW w:w="80"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83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23" w:type="dxa"/>
            <w:tcBorders/>
            <w:vAlign w:val="center"/>
          </w:tcPr>
          <w:p>
            <w:pPr>
              <w:pStyle w:val="TableContents"/>
              <w:bidi w:val="0"/>
              <w:spacing w:before="0" w:after="283"/>
              <w:jc w:val="left"/>
              <w:rPr>
                <w:caps w:val="false"/>
                <w:smallCaps w:val="false"/>
              </w:rPr>
            </w:pPr>
            <w:r>
              <w:rPr>
                <w:caps w:val="false"/>
                <w:smallCaps w:val="false"/>
              </w:rPr>
              <w:t> </w:t>
            </w:r>
          </w:p>
        </w:tc>
        <w:tc>
          <w:tcPr>
            <w:tcW w:w="8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80"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Purchaser:</w:t>
            </w:r>
          </w:p>
        </w:tc>
      </w:tr>
      <w:tr>
        <w:trPr/>
        <w:tc>
          <w:tcPr>
            <w:tcW w:w="80"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left"/>
              <w:rPr>
                <w:caps/>
              </w:rPr>
            </w:pPr>
            <w:r>
              <w:rPr>
                <w:caps/>
              </w:rPr>
              <w:t> </w:t>
            </w:r>
          </w:p>
        </w:tc>
      </w:tr>
      <w:tr>
        <w:trPr/>
        <w:tc>
          <w:tcPr>
            <w:tcW w:w="80"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XpresTest, Inc.  </w:t>
            </w:r>
          </w:p>
        </w:tc>
      </w:tr>
      <w:tr>
        <w:trPr/>
        <w:tc>
          <w:tcPr>
            <w:tcW w:w="80"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83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23" w:type="dxa"/>
            <w:tcBorders/>
            <w:vAlign w:val="center"/>
          </w:tcPr>
          <w:p>
            <w:pPr>
              <w:pStyle w:val="TableContents"/>
              <w:bidi w:val="0"/>
              <w:spacing w:before="0" w:after="283"/>
              <w:jc w:val="left"/>
              <w:rPr>
                <w:caps w:val="false"/>
                <w:smallCaps w:val="false"/>
              </w:rPr>
            </w:pPr>
            <w:r>
              <w:rPr>
                <w:caps w:val="false"/>
                <w:smallCaps w:val="false"/>
              </w:rPr>
              <w:t> </w:t>
            </w:r>
          </w:p>
        </w:tc>
        <w:tc>
          <w:tcPr>
            <w:tcW w:w="8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80" w:type="dxa"/>
            <w:tcBorders/>
            <w:vAlign w:val="center"/>
          </w:tcPr>
          <w:p>
            <w:pPr>
              <w:pStyle w:val="TableContents"/>
              <w:bidi w:val="0"/>
              <w:spacing w:before="0" w:after="283"/>
              <w:jc w:val="left"/>
              <w:rPr/>
            </w:pPr>
            <w:r>
              <w:rPr/>
              <w:t> </w:t>
            </w:r>
          </w:p>
        </w:tc>
        <w:tc>
          <w:tcPr>
            <w:tcW w:w="523" w:type="dxa"/>
            <w:tcBorders/>
            <w:vAlign w:val="center"/>
          </w:tcPr>
          <w:p>
            <w:pPr>
              <w:pStyle w:val="TableContents"/>
              <w:bidi w:val="0"/>
              <w:spacing w:before="0" w:after="283"/>
              <w:jc w:val="left"/>
              <w:rPr>
                <w:caps w:val="false"/>
                <w:smallCaps w:val="false"/>
              </w:rPr>
            </w:pPr>
            <w:r>
              <w:rPr>
                <w:caps w:val="false"/>
                <w:smallCaps w:val="false"/>
              </w:rPr>
              <w:t> </w:t>
            </w:r>
          </w:p>
        </w:tc>
        <w:tc>
          <w:tcPr>
            <w:tcW w:w="8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stock 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effective as of ______________, 2026, the undersigned (the “</w:t>
      </w:r>
      <w:r>
        <w:rPr>
          <w:rFonts w:ascii="Times New Roman;Times;Serif" w:hAnsi="Times New Roman;Times;Serif"/>
          <w:b w:val="false"/>
          <w:i w:val="false"/>
          <w:caps w:val="false"/>
          <w:smallCaps w:val="false"/>
          <w:sz w:val="20"/>
          <w:u w:val="single"/>
        </w:rPr>
        <w:t>Assignor</w:t>
      </w:r>
      <w:r>
        <w:rPr>
          <w:rFonts w:ascii="Times New Roman;Times;Serif" w:hAnsi="Times New Roman;Times;Serif"/>
          <w:b w:val="false"/>
          <w:i w:val="false"/>
          <w:caps w:val="false"/>
          <w:smallCaps w:val="false"/>
          <w:sz w:val="20"/>
        </w:rPr>
        <w:t>”) hereby sells, conveys, assigns, transfers and delivers unto XpresTest, Inc., a Delaware corporation (the “</w:t>
      </w:r>
      <w:r>
        <w:rPr>
          <w:rFonts w:ascii="Times New Roman;Times;Serif" w:hAnsi="Times New Roman;Times;Serif"/>
          <w:b w:val="false"/>
          <w:i w:val="false"/>
          <w:caps w:val="false"/>
          <w:smallCaps w:val="false"/>
          <w:sz w:val="20"/>
          <w:u w:val="single"/>
        </w:rPr>
        <w:t>Assignee</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all of Assignor’s right, title and interest in and to __________________ shares of common stock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of Company, held by the Assignor in uncertificated form, standing in Assignor’s name on the books of the Company. The Assignor does hereby irrevocably constitute and appoint each officer of the Company as attorney-in-fact to effect the transfer of the Shares on the books of the Company with full power of substitution.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Stock Assignment to be executed and delivered on the date set forth below.</w:t>
      </w:r>
    </w:p>
    <w:p>
      <w:pPr>
        <w:pStyle w:val="TextBody"/>
        <w:bidi w:val="0"/>
        <w:spacing w:before="0" w:after="0"/>
        <w:ind w:left="0" w:right="0" w:hanging="0"/>
        <w:jc w:val="left"/>
        <w:rPr>
          <w:caps w:val="false"/>
          <w:smallCaps w:val="false"/>
        </w:rPr>
      </w:pPr>
      <w:r>
        <w:rPr>
          <w:caps w:val="false"/>
          <w:smallCaps w:val="false"/>
        </w:rPr>
        <w:t> </w:t>
      </w:r>
    </w:p>
    <w:tbl>
      <w:tblPr>
        <w:tblW w:w="3309" w:type="dxa"/>
        <w:jc w:val="left"/>
        <w:tblInd w:w="0" w:type="dxa"/>
        <w:tblLayout w:type="fixed"/>
        <w:tblCellMar>
          <w:top w:w="0" w:type="dxa"/>
          <w:left w:w="0" w:type="dxa"/>
          <w:bottom w:w="0" w:type="dxa"/>
          <w:right w:w="0" w:type="dxa"/>
        </w:tblCellMar>
      </w:tblPr>
      <w:tblGrid>
        <w:gridCol w:w="804"/>
        <w:gridCol w:w="2425"/>
        <w:gridCol w:w="80"/>
      </w:tblGrid>
      <w:tr>
        <w:trPr/>
        <w:tc>
          <w:tcPr>
            <w:tcW w:w="322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____________________, 2026</w:t>
            </w:r>
          </w:p>
        </w:tc>
        <w:tc>
          <w:tcPr>
            <w:tcW w:w="80" w:type="dxa"/>
            <w:tcBorders/>
            <w:vAlign w:val="center"/>
          </w:tcPr>
          <w:p>
            <w:pPr>
              <w:pStyle w:val="TableContents"/>
              <w:bidi w:val="0"/>
              <w:spacing w:before="0" w:after="283"/>
              <w:jc w:val="left"/>
              <w:rPr/>
            </w:pPr>
            <w:r>
              <w:rPr/>
              <w:t> </w:t>
            </w:r>
          </w:p>
        </w:tc>
      </w:tr>
      <w:tr>
        <w:trPr/>
        <w:tc>
          <w:tcPr>
            <w:tcW w:w="322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pPr>
            <w:r>
              <w:rPr/>
              <w:t> </w:t>
            </w:r>
          </w:p>
        </w:tc>
      </w:tr>
      <w:tr>
        <w:trPr/>
        <w:tc>
          <w:tcPr>
            <w:tcW w:w="8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2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pPr>
            <w:r>
              <w:rPr/>
              <w:t> </w:t>
            </w:r>
          </w:p>
        </w:tc>
      </w:tr>
      <w:tr>
        <w:trPr/>
        <w:tc>
          <w:tcPr>
            <w:tcW w:w="322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5" w:name="tm2621012d3_ex10-2.htm"/>
      <w:bookmarkStart w:id="26" w:name="kstm2621012d3_ex102"/>
      <w:bookmarkEnd w:id="25"/>
      <w:bookmarkEnd w:id="26"/>
      <w:r>
        <w:rPr/>
        <w:t> </w:t>
      </w:r>
      <w:r>
        <w:br w:type="page"/>
      </w:r>
    </w:p>
    <w:p>
      <w:pPr>
        <w:pStyle w:val="TextBody"/>
        <w:bidi w:val="0"/>
        <w:jc w:val="right"/>
        <w:rPr>
          <w:b/>
        </w:rPr>
      </w:pPr>
      <w:r>
        <w:rPr>
          <w:b/>
        </w:rPr>
        <w:t>Exhibit 10.2</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REPURCHASE AGREEMENT SIDE LETTER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__,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0"/>
        <w:gridCol w:w="1112"/>
        <w:gridCol w:w="8973"/>
      </w:tblGrid>
      <w:tr>
        <w:trPr/>
        <w:tc>
          <w:tcPr>
            <w:tcW w:w="120"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pPr>
            <w:r>
              <w:rPr/>
              <w:t>Re:</w:t>
            </w:r>
          </w:p>
        </w:tc>
        <w:tc>
          <w:tcPr>
            <w:tcW w:w="8973" w:type="dxa"/>
            <w:tcBorders/>
            <w:vAlign w:val="center"/>
          </w:tcPr>
          <w:p>
            <w:pPr>
              <w:pStyle w:val="TableContents"/>
              <w:bidi w:val="0"/>
              <w:spacing w:before="0" w:after="283"/>
              <w:jc w:val="both"/>
              <w:rPr>
                <w:i/>
              </w:rPr>
            </w:pPr>
            <w:r>
              <w:rPr>
                <w:i/>
              </w:rPr>
              <w:t>Stock Repurchase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that certain Stock Repurchase Agreement (the “</w:t>
      </w:r>
      <w:r>
        <w:rPr>
          <w:rFonts w:ascii="Times New Roman;Times;Serif" w:hAnsi="Times New Roman;Times;Serif"/>
          <w:b/>
          <w:i/>
          <w:caps w:val="false"/>
          <w:smallCaps w:val="false"/>
          <w:sz w:val="20"/>
        </w:rPr>
        <w:t>Stock Repurchase Agreement</w:t>
      </w:r>
      <w:r>
        <w:rPr>
          <w:rFonts w:ascii="Times New Roman;Times;Serif" w:hAnsi="Times New Roman;Times;Serif"/>
          <w:b w:val="false"/>
          <w:i w:val="false"/>
          <w:caps w:val="false"/>
          <w:smallCaps w:val="false"/>
          <w:sz w:val="20"/>
        </w:rPr>
        <w:t>”), dated August 21, 2026, by and between __________ (“</w:t>
      </w:r>
      <w:r>
        <w:rPr>
          <w:rFonts w:ascii="Times New Roman;Times;Serif" w:hAnsi="Times New Roman;Times;Serif"/>
          <w:b/>
          <w:i/>
          <w:caps w:val="false"/>
          <w:smallCaps w:val="false"/>
          <w:sz w:val="20"/>
        </w:rPr>
        <w:t>Seller</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you</w:t>
      </w:r>
      <w:r>
        <w:rPr>
          <w:rFonts w:ascii="Times New Roman;Times;Serif" w:hAnsi="Times New Roman;Times;Serif"/>
          <w:b w:val="false"/>
          <w:i w:val="false"/>
          <w:caps w:val="false"/>
          <w:smallCaps w:val="false"/>
          <w:sz w:val="20"/>
        </w:rPr>
        <w:t>”) and XpresTest,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Capitalized terms used but not otherwise defined in this letter (this “</w:t>
      </w:r>
      <w:r>
        <w:rPr>
          <w:rFonts w:ascii="Times New Roman;Times;Serif" w:hAnsi="Times New Roman;Times;Serif"/>
          <w:b/>
          <w:i/>
          <w:caps w:val="false"/>
          <w:smallCaps w:val="false"/>
          <w:sz w:val="20"/>
        </w:rPr>
        <w:t>Side Letter</w:t>
      </w:r>
      <w:r>
        <w:rPr>
          <w:rFonts w:ascii="Times New Roman;Times;Serif" w:hAnsi="Times New Roman;Times;Serif"/>
          <w:b w:val="false"/>
          <w:i w:val="false"/>
          <w:caps w:val="false"/>
          <w:smallCaps w:val="false"/>
          <w:sz w:val="20"/>
        </w:rPr>
        <w:t>”) shall have the meanings given to them in the Stock Repurchase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effectuate the parties’ mutual desire to consummate the transactions contemplated by the Stock Repurchase Agreement effective as of the date hereof, the Company and Seller hereby acknowledge, confirm and agree for all purposes under the Stock Repurchase Agreement as follows: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4"/>
        <w:gridCol w:w="10024"/>
      </w:tblGrid>
      <w:tr>
        <w:trPr/>
        <w:tc>
          <w:tcPr>
            <w:tcW w:w="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pPr>
            <w:r>
              <w:rPr/>
              <w:t>1.</w:t>
            </w:r>
          </w:p>
        </w:tc>
        <w:tc>
          <w:tcPr>
            <w:tcW w:w="10024" w:type="dxa"/>
            <w:tcBorders/>
            <w:vAlign w:val="center"/>
          </w:tcPr>
          <w:p>
            <w:pPr>
              <w:pStyle w:val="TableContents"/>
              <w:bidi w:val="0"/>
              <w:spacing w:before="0" w:after="283"/>
              <w:jc w:val="both"/>
              <w:rPr/>
            </w:pPr>
            <w:r>
              <w:rPr/>
              <w:t>Notwithstanding anything to the contrary set forth in the Stock Repurchase Agreement, the consummation of the purchase and sale of the Awarded Shares pursuant to the Stock Repurchase Agreement shall take place concurrently herewith, and, accordingly, the Repurchase Time under the Stock Repurchase Agreement shall for all purposes be deemed to be the time such purchase and sale is actually consummated on the date hereof in accordance with this Side Letter. At the Repurchase Time, any Awarded Shares, if not previously vested, shall become fully vested in accordance with Section 10.1 of the Company’s 2020 Equity Incentive Plan. For the avoidance of doubt, from and after the Repurchase Time on the date hereof, Seller shall have no remaining claim or right to ownership in the Company or Purchaser, or any other claim of any kind against the Company, Purchaser, or any of their respective owners, directors, officers, shareholders, employees or agents, in each case, to the extent relating or arising out of Seller’s ownership of the Common Stock being repurchased pursuant to the Stock Repurchase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1"/>
        <w:gridCol w:w="10017"/>
      </w:tblGrid>
      <w:tr>
        <w:trPr/>
        <w:tc>
          <w:tcPr>
            <w:tcW w:w="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2.</w:t>
            </w:r>
          </w:p>
        </w:tc>
        <w:tc>
          <w:tcPr>
            <w:tcW w:w="10017" w:type="dxa"/>
            <w:tcBorders/>
            <w:vAlign w:val="center"/>
          </w:tcPr>
          <w:p>
            <w:pPr>
              <w:pStyle w:val="TableContents"/>
              <w:bidi w:val="0"/>
              <w:spacing w:before="0" w:after="283"/>
              <w:jc w:val="both"/>
              <w:rPr/>
            </w:pPr>
            <w:r>
              <w:rPr/>
              <w:t>In order to give effect to the transactions contemplated by the Stock Repurchase Agreement, the Company is hereby expressly authorized to add the Repurchase Time to Seller’s Stock Assignment, in the form attached as Exhibit A of the Stock Repurchase Agreement, and to release Seller’s signature thereon from escrow. The Purchase Price will be paid in immediately available funds via check or wire transfer to the address or account specified by you within five (5) business days following the date hereof.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3.</w:t>
            </w:r>
          </w:p>
        </w:tc>
        <w:tc>
          <w:tcPr>
            <w:tcW w:w="10013" w:type="dxa"/>
            <w:tcBorders/>
            <w:vAlign w:val="center"/>
          </w:tcPr>
          <w:p>
            <w:pPr>
              <w:pStyle w:val="TableContents"/>
              <w:bidi w:val="0"/>
              <w:spacing w:before="0" w:after="283"/>
              <w:jc w:val="both"/>
              <w:rPr/>
            </w:pPr>
            <w:r>
              <w:rPr/>
              <w:t>This Side Letter and the Stock Repurchase Agreement contain all of the understandings and representations between you and the Company pertaining to the subject matter hereof and thereof, and supersede all prior and contemporaneous understandings, agreements, representations, and warranties, both written and oral, with respect to such subject matter.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2"/>
        <w:gridCol w:w="10016"/>
      </w:tblGrid>
      <w:tr>
        <w:trPr/>
        <w:tc>
          <w:tcPr>
            <w:tcW w:w="3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4.</w:t>
            </w:r>
          </w:p>
        </w:tc>
        <w:tc>
          <w:tcPr>
            <w:tcW w:w="10016" w:type="dxa"/>
            <w:tcBorders/>
            <w:vAlign w:val="center"/>
          </w:tcPr>
          <w:p>
            <w:pPr>
              <w:pStyle w:val="TableContents"/>
              <w:bidi w:val="0"/>
              <w:spacing w:before="0" w:after="283"/>
              <w:jc w:val="both"/>
              <w:rPr/>
            </w:pPr>
            <w:r>
              <w:rPr/>
              <w:t>Except as expressly set forth in this Side Letter, the Stock Repurchase Agreement shall continue in full force and effect in accordance with its terms, and Seller expressly reaffirms, as of the date hereof, all of the representations in Section 3 of the Stock Repurchase Agreement. This Side Letter may be executed in counterparts, each of which shall be deemed an original, and both of which, taken together, shall constitute a single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correctly sets forth the understanding and agreement between us, please so indicate by signing in the space provided below.</w:t>
      </w:r>
    </w:p>
    <w:p>
      <w:pPr>
        <w:pStyle w:val="TextBody"/>
        <w:bidi w:val="0"/>
        <w:spacing w:before="0" w:after="0"/>
        <w:ind w:left="0" w:right="0" w:hanging="0"/>
        <w:jc w:val="left"/>
        <w:rPr>
          <w:caps w:val="false"/>
          <w:smallCaps w:val="false"/>
        </w:rPr>
      </w:pPr>
      <w:r>
        <w:rPr>
          <w:caps w:val="false"/>
          <w:smallCaps w:val="false"/>
        </w:rPr>
        <w:t> </w:t>
      </w:r>
    </w:p>
    <w:tbl>
      <w:tblPr>
        <w:tblW w:w="1550" w:type="dxa"/>
        <w:jc w:val="left"/>
        <w:tblInd w:w="0" w:type="dxa"/>
        <w:tblLayout w:type="fixed"/>
        <w:tblCellMar>
          <w:top w:w="0" w:type="dxa"/>
          <w:left w:w="0" w:type="dxa"/>
          <w:bottom w:w="0" w:type="dxa"/>
          <w:right w:w="0" w:type="dxa"/>
        </w:tblCellMar>
      </w:tblPr>
      <w:tblGrid>
        <w:gridCol w:w="75"/>
        <w:gridCol w:w="320"/>
        <w:gridCol w:w="1155"/>
      </w:tblGrid>
      <w:tr>
        <w:trPr/>
        <w:tc>
          <w:tcPr>
            <w:tcW w:w="75"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tc>
      </w:tr>
      <w:tr>
        <w:trPr/>
        <w:tc>
          <w:tcPr>
            <w:tcW w:w="75"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XpresTest, Inc.</w:t>
            </w:r>
          </w:p>
        </w:tc>
      </w:tr>
      <w:tr>
        <w:trPr/>
        <w:tc>
          <w:tcPr>
            <w:tcW w:w="75"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15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tbl>
      <w:tblPr>
        <w:tblW w:w="2540" w:type="dxa"/>
        <w:jc w:val="left"/>
        <w:tblInd w:w="0" w:type="dxa"/>
        <w:tblLayout w:type="fixed"/>
        <w:tblCellMar>
          <w:top w:w="0" w:type="dxa"/>
          <w:left w:w="0" w:type="dxa"/>
          <w:bottom w:w="0" w:type="dxa"/>
          <w:right w:w="0" w:type="dxa"/>
        </w:tblCellMar>
      </w:tblPr>
      <w:tblGrid>
        <w:gridCol w:w="2465"/>
        <w:gridCol w:w="75"/>
      </w:tblGrid>
      <w:tr>
        <w:trPr/>
        <w:tc>
          <w:tcPr>
            <w:tcW w:w="24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AGREED AND ACCEPTED,</w:t>
            </w:r>
          </w:p>
        </w:tc>
        <w:tc>
          <w:tcPr>
            <w:tcW w:w="75"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the date hereof:</w:t>
            </w:r>
          </w:p>
        </w:tc>
        <w:tc>
          <w:tcPr>
            <w:tcW w:w="75"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SELLER:</w:t>
            </w:r>
          </w:p>
        </w:tc>
        <w:tc>
          <w:tcPr>
            <w:tcW w:w="75"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46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4496</Words>
  <Characters>24658</Characters>
  <CharactersWithSpaces>29415</CharactersWithSpaces>
  <Paragraphs>373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